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1F" w:rsidRDefault="0094599A" w:rsidP="0094599A">
      <w:pPr>
        <w:pStyle w:val="a3"/>
        <w:rPr>
          <w:sz w:val="24"/>
        </w:rPr>
      </w:pPr>
      <w:r w:rsidRPr="0094599A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ge">
              <wp:posOffset>717550</wp:posOffset>
            </wp:positionV>
            <wp:extent cx="1143000" cy="800100"/>
            <wp:effectExtent l="19050" t="0" r="0" b="0"/>
            <wp:wrapTopAndBottom/>
            <wp:docPr id="1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2DF" w:rsidRPr="00FD72DF" w:rsidRDefault="00FD72DF" w:rsidP="00FD72DF">
      <w:pPr>
        <w:pStyle w:val="a3"/>
        <w:rPr>
          <w:szCs w:val="28"/>
        </w:rPr>
      </w:pPr>
      <w:r w:rsidRPr="00F954A1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2683510</wp:posOffset>
            </wp:positionH>
            <wp:positionV relativeFrom="page">
              <wp:posOffset>717550</wp:posOffset>
            </wp:positionV>
            <wp:extent cx="1143000" cy="800100"/>
            <wp:effectExtent l="19050" t="0" r="0" b="0"/>
            <wp:wrapTopAndBottom/>
            <wp:docPr id="3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 w:rsidRPr="00FD72DF">
        <w:rPr>
          <w:szCs w:val="28"/>
        </w:rPr>
        <w:t>КОНТРОЛЬНО-СЧЕТНАЯ ПАЛАТА</w:t>
      </w:r>
    </w:p>
    <w:p w:rsidR="00FD72DF" w:rsidRPr="00FD72DF" w:rsidRDefault="00FD72DF" w:rsidP="00FD72DF">
      <w:pPr>
        <w:pStyle w:val="a3"/>
        <w:rPr>
          <w:szCs w:val="28"/>
        </w:rPr>
      </w:pPr>
      <w:r w:rsidRPr="00FD72DF">
        <w:rPr>
          <w:szCs w:val="28"/>
        </w:rPr>
        <w:t>ТАЙМЫРСКОГО ДОЛГАНО-НЕНЕЦКОГО МУНИЦИПАЛЬНОГО РАЙОНА</w:t>
      </w:r>
    </w:p>
    <w:p w:rsidR="00F04C1F" w:rsidRDefault="00F04C1F" w:rsidP="00C704E6">
      <w:pPr>
        <w:pStyle w:val="a3"/>
        <w:jc w:val="left"/>
        <w:rPr>
          <w:sz w:val="24"/>
        </w:rPr>
      </w:pPr>
    </w:p>
    <w:p w:rsidR="00860517" w:rsidRDefault="00142949" w:rsidP="00142949">
      <w:pPr>
        <w:pStyle w:val="a3"/>
        <w:rPr>
          <w:color w:val="000000"/>
          <w:sz w:val="26"/>
          <w:szCs w:val="26"/>
        </w:rPr>
      </w:pPr>
      <w:r w:rsidRPr="00C4603E">
        <w:rPr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860517" w:rsidRDefault="00860517" w:rsidP="00142949">
      <w:pPr>
        <w:pStyle w:val="a3"/>
        <w:rPr>
          <w:color w:val="000000"/>
          <w:sz w:val="26"/>
          <w:szCs w:val="26"/>
        </w:rPr>
      </w:pPr>
    </w:p>
    <w:p w:rsidR="00142949" w:rsidRPr="00C4603E" w:rsidRDefault="00860517" w:rsidP="00142949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 w:rsidR="00142949" w:rsidRPr="00C4603E">
        <w:rPr>
          <w:color w:val="000000"/>
          <w:sz w:val="26"/>
          <w:szCs w:val="26"/>
        </w:rPr>
        <w:t xml:space="preserve">УТВЕРЖДАЮ </w:t>
      </w:r>
    </w:p>
    <w:p w:rsidR="00142949" w:rsidRPr="00C4603E" w:rsidRDefault="00142949" w:rsidP="00142949">
      <w:pPr>
        <w:pStyle w:val="a3"/>
        <w:rPr>
          <w:b w:val="0"/>
          <w:color w:val="000000"/>
          <w:sz w:val="26"/>
          <w:szCs w:val="26"/>
        </w:rPr>
      </w:pPr>
      <w:r w:rsidRPr="00C4603E"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r w:rsidRPr="00C4603E">
        <w:rPr>
          <w:b w:val="0"/>
          <w:color w:val="000000"/>
          <w:sz w:val="26"/>
          <w:szCs w:val="26"/>
        </w:rPr>
        <w:t xml:space="preserve">Председатель </w:t>
      </w:r>
    </w:p>
    <w:p w:rsidR="00142949" w:rsidRPr="00C4603E" w:rsidRDefault="00142949" w:rsidP="00142949">
      <w:pPr>
        <w:pStyle w:val="a3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Контрольно - Счетной палаты </w:t>
      </w:r>
    </w:p>
    <w:p w:rsidR="00142949" w:rsidRPr="00C4603E" w:rsidRDefault="00142949" w:rsidP="00142949">
      <w:pPr>
        <w:pStyle w:val="a3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Таймырского Долгано-Ненецкого </w:t>
      </w:r>
    </w:p>
    <w:p w:rsidR="00142949" w:rsidRPr="00C4603E" w:rsidRDefault="00142949" w:rsidP="00142949">
      <w:pPr>
        <w:pStyle w:val="a3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муниципального района</w:t>
      </w:r>
    </w:p>
    <w:p w:rsidR="00142949" w:rsidRPr="00C4603E" w:rsidRDefault="00142949" w:rsidP="00142949">
      <w:pPr>
        <w:pStyle w:val="a3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 xml:space="preserve">                                                                     </w:t>
      </w:r>
      <w:r w:rsidR="00D52BD6">
        <w:rPr>
          <w:b w:val="0"/>
          <w:color w:val="000000"/>
          <w:sz w:val="26"/>
          <w:szCs w:val="26"/>
        </w:rPr>
        <w:t xml:space="preserve"> </w:t>
      </w:r>
      <w:r w:rsidR="008E59AA">
        <w:rPr>
          <w:b w:val="0"/>
          <w:color w:val="000000"/>
          <w:sz w:val="26"/>
          <w:szCs w:val="26"/>
        </w:rPr>
        <w:t xml:space="preserve">                           </w:t>
      </w:r>
      <w:r w:rsidR="008E59AA">
        <w:rPr>
          <w:b w:val="0"/>
          <w:color w:val="000000"/>
          <w:sz w:val="26"/>
          <w:szCs w:val="26"/>
          <w:u w:val="single"/>
        </w:rPr>
        <w:t xml:space="preserve">                       </w:t>
      </w:r>
      <w:r w:rsidR="008E59AA">
        <w:rPr>
          <w:b w:val="0"/>
          <w:color w:val="000000"/>
          <w:sz w:val="26"/>
          <w:szCs w:val="26"/>
        </w:rPr>
        <w:t xml:space="preserve">   </w:t>
      </w:r>
      <w:r w:rsidR="00D52BD6">
        <w:rPr>
          <w:b w:val="0"/>
          <w:color w:val="000000"/>
          <w:sz w:val="26"/>
          <w:szCs w:val="26"/>
        </w:rPr>
        <w:t>И.Ф. Ярошук</w:t>
      </w:r>
      <w:r w:rsidRPr="00C4603E">
        <w:rPr>
          <w:b w:val="0"/>
          <w:color w:val="000000"/>
          <w:sz w:val="26"/>
          <w:szCs w:val="26"/>
        </w:rPr>
        <w:t xml:space="preserve">  </w:t>
      </w:r>
    </w:p>
    <w:p w:rsidR="00C704E6" w:rsidRPr="00C704E6" w:rsidRDefault="00142949" w:rsidP="00C704E6">
      <w:pPr>
        <w:pStyle w:val="a3"/>
        <w:rPr>
          <w:b w:val="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DC192F">
        <w:rPr>
          <w:b w:val="0"/>
          <w:color w:val="000000"/>
          <w:sz w:val="26"/>
          <w:szCs w:val="26"/>
        </w:rPr>
        <w:t>«</w:t>
      </w:r>
      <w:r w:rsidR="007A7083" w:rsidRPr="008E59AA">
        <w:rPr>
          <w:b w:val="0"/>
          <w:color w:val="000000"/>
          <w:sz w:val="26"/>
          <w:szCs w:val="26"/>
        </w:rPr>
        <w:t>29</w:t>
      </w:r>
      <w:r w:rsidRPr="00DC192F">
        <w:rPr>
          <w:b w:val="0"/>
          <w:color w:val="000000"/>
          <w:sz w:val="26"/>
          <w:szCs w:val="26"/>
        </w:rPr>
        <w:t xml:space="preserve">» </w:t>
      </w:r>
      <w:r w:rsidR="00B54CE2" w:rsidRPr="00DC192F">
        <w:rPr>
          <w:b w:val="0"/>
          <w:color w:val="000000"/>
          <w:sz w:val="26"/>
          <w:szCs w:val="26"/>
        </w:rPr>
        <w:t>апреля</w:t>
      </w:r>
      <w:r w:rsidRPr="00DC192F">
        <w:rPr>
          <w:b w:val="0"/>
          <w:color w:val="000000"/>
          <w:sz w:val="26"/>
          <w:szCs w:val="26"/>
        </w:rPr>
        <w:t xml:space="preserve"> 20</w:t>
      </w:r>
      <w:r w:rsidR="007A7083">
        <w:rPr>
          <w:b w:val="0"/>
          <w:color w:val="000000"/>
          <w:sz w:val="26"/>
          <w:szCs w:val="26"/>
        </w:rPr>
        <w:t>20</w:t>
      </w:r>
      <w:r w:rsidRPr="00DC192F">
        <w:rPr>
          <w:b w:val="0"/>
          <w:color w:val="000000"/>
          <w:sz w:val="26"/>
          <w:szCs w:val="26"/>
        </w:rPr>
        <w:t xml:space="preserve"> г</w:t>
      </w:r>
      <w:r w:rsidR="00C54343" w:rsidRPr="00DC192F">
        <w:rPr>
          <w:b w:val="0"/>
          <w:color w:val="000000"/>
          <w:sz w:val="26"/>
          <w:szCs w:val="26"/>
        </w:rPr>
        <w:t>од</w:t>
      </w:r>
      <w:r w:rsidR="00C704E6">
        <w:rPr>
          <w:b w:val="0"/>
          <w:color w:val="000000"/>
          <w:sz w:val="26"/>
          <w:szCs w:val="26"/>
        </w:rPr>
        <w:t>а</w:t>
      </w:r>
    </w:p>
    <w:p w:rsidR="00C05391" w:rsidRPr="00C4603E" w:rsidRDefault="00C05391" w:rsidP="004D0EF7">
      <w:pPr>
        <w:pStyle w:val="a3"/>
        <w:jc w:val="left"/>
        <w:rPr>
          <w:b w:val="0"/>
          <w:sz w:val="26"/>
          <w:szCs w:val="26"/>
        </w:rPr>
      </w:pPr>
    </w:p>
    <w:p w:rsidR="00035595" w:rsidRDefault="00035595">
      <w:pPr>
        <w:pStyle w:val="a3"/>
        <w:rPr>
          <w:szCs w:val="28"/>
        </w:rPr>
      </w:pPr>
    </w:p>
    <w:p w:rsidR="00F04C1F" w:rsidRPr="00C4603E" w:rsidRDefault="00D52BD6">
      <w:pPr>
        <w:pStyle w:val="a3"/>
        <w:rPr>
          <w:szCs w:val="28"/>
        </w:rPr>
      </w:pPr>
      <w:r>
        <w:rPr>
          <w:sz w:val="26"/>
          <w:szCs w:val="26"/>
        </w:rPr>
        <w:t>ЗАКЛЮЧЕНИЕ</w:t>
      </w:r>
      <w:r w:rsidR="00093681" w:rsidRPr="00C4603E">
        <w:rPr>
          <w:szCs w:val="28"/>
        </w:rPr>
        <w:t xml:space="preserve"> </w:t>
      </w:r>
    </w:p>
    <w:p w:rsidR="002A6919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4D1C89">
        <w:rPr>
          <w:b/>
          <w:bCs/>
          <w:spacing w:val="1"/>
          <w:sz w:val="26"/>
          <w:szCs w:val="26"/>
        </w:rPr>
        <w:t>по результатам</w:t>
      </w:r>
      <w:r w:rsidRPr="004D1C89">
        <w:rPr>
          <w:b/>
          <w:bCs/>
          <w:color w:val="212121"/>
          <w:spacing w:val="1"/>
          <w:sz w:val="26"/>
          <w:szCs w:val="26"/>
        </w:rPr>
        <w:t xml:space="preserve"> </w:t>
      </w:r>
      <w:r w:rsidRPr="004D1C89">
        <w:rPr>
          <w:b/>
          <w:bCs/>
          <w:color w:val="000000"/>
          <w:sz w:val="26"/>
          <w:szCs w:val="26"/>
        </w:rPr>
        <w:t xml:space="preserve">внешней проверки </w:t>
      </w:r>
      <w:r>
        <w:rPr>
          <w:b/>
          <w:bCs/>
          <w:spacing w:val="1"/>
          <w:sz w:val="26"/>
          <w:szCs w:val="26"/>
        </w:rPr>
        <w:t>годового отчета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</w:p>
    <w:p w:rsidR="00EC6617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об исполнении бюджета муниципального образования</w:t>
      </w:r>
    </w:p>
    <w:p w:rsidR="00F04C1F" w:rsidRPr="00310CBD" w:rsidRDefault="00EC6617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310CBD">
        <w:rPr>
          <w:b/>
          <w:bCs/>
          <w:spacing w:val="1"/>
          <w:sz w:val="26"/>
          <w:szCs w:val="26"/>
        </w:rPr>
        <w:t>«</w:t>
      </w:r>
      <w:r w:rsidR="00804114">
        <w:rPr>
          <w:b/>
          <w:bCs/>
          <w:spacing w:val="1"/>
          <w:sz w:val="26"/>
          <w:szCs w:val="26"/>
        </w:rPr>
        <w:t xml:space="preserve">Город </w:t>
      </w:r>
      <w:r w:rsidRPr="00310CBD">
        <w:rPr>
          <w:b/>
          <w:bCs/>
          <w:spacing w:val="1"/>
          <w:sz w:val="26"/>
          <w:szCs w:val="26"/>
        </w:rPr>
        <w:t>Д</w:t>
      </w:r>
      <w:r w:rsidR="003F696D">
        <w:rPr>
          <w:b/>
          <w:bCs/>
          <w:spacing w:val="1"/>
          <w:sz w:val="26"/>
          <w:szCs w:val="26"/>
        </w:rPr>
        <w:t>удинка</w:t>
      </w:r>
      <w:r w:rsidRPr="00310CBD">
        <w:rPr>
          <w:b/>
          <w:bCs/>
          <w:spacing w:val="1"/>
          <w:sz w:val="26"/>
          <w:szCs w:val="26"/>
        </w:rPr>
        <w:t>»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за</w:t>
      </w:r>
      <w:r w:rsidR="00F04C1F" w:rsidRPr="00310CBD">
        <w:rPr>
          <w:b/>
          <w:bCs/>
          <w:spacing w:val="1"/>
          <w:sz w:val="26"/>
          <w:szCs w:val="26"/>
        </w:rPr>
        <w:t xml:space="preserve"> 20</w:t>
      </w:r>
      <w:r w:rsidR="002E66D7" w:rsidRPr="00310CBD">
        <w:rPr>
          <w:b/>
          <w:bCs/>
          <w:spacing w:val="1"/>
          <w:sz w:val="26"/>
          <w:szCs w:val="26"/>
        </w:rPr>
        <w:t>1</w:t>
      </w:r>
      <w:r w:rsidR="007A7083">
        <w:rPr>
          <w:b/>
          <w:bCs/>
          <w:spacing w:val="1"/>
          <w:sz w:val="26"/>
          <w:szCs w:val="26"/>
        </w:rPr>
        <w:t>9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год</w:t>
      </w:r>
    </w:p>
    <w:p w:rsidR="00350014" w:rsidRPr="00C4603E" w:rsidRDefault="00F04C1F" w:rsidP="00350014">
      <w:pPr>
        <w:pStyle w:val="1"/>
        <w:tabs>
          <w:tab w:val="left" w:pos="709"/>
        </w:tabs>
        <w:ind w:firstLine="0"/>
        <w:jc w:val="left"/>
        <w:rPr>
          <w:sz w:val="28"/>
          <w:szCs w:val="28"/>
        </w:rPr>
      </w:pPr>
      <w:r w:rsidRPr="00C4603E">
        <w:rPr>
          <w:sz w:val="28"/>
          <w:szCs w:val="28"/>
        </w:rPr>
        <w:t xml:space="preserve">             </w:t>
      </w:r>
    </w:p>
    <w:p w:rsidR="00142949" w:rsidRPr="008B01B2" w:rsidRDefault="00142949" w:rsidP="00A91F7A">
      <w:pPr>
        <w:jc w:val="center"/>
        <w:rPr>
          <w:i/>
        </w:rPr>
      </w:pPr>
      <w:r w:rsidRPr="008B01B2">
        <w:rPr>
          <w:i/>
        </w:rPr>
        <w:t xml:space="preserve">(утверждено решением коллегии Контрольно-Счетной палаты от </w:t>
      </w:r>
      <w:r w:rsidR="00AA5ED5" w:rsidRPr="009E4978">
        <w:rPr>
          <w:i/>
        </w:rPr>
        <w:t>2</w:t>
      </w:r>
      <w:r w:rsidR="007A7083" w:rsidRPr="009E4978">
        <w:rPr>
          <w:i/>
        </w:rPr>
        <w:t>9.04.2020</w:t>
      </w:r>
      <w:r w:rsidRPr="009E4978">
        <w:rPr>
          <w:i/>
        </w:rPr>
        <w:t xml:space="preserve"> № </w:t>
      </w:r>
      <w:r w:rsidR="009E4978" w:rsidRPr="009E4978">
        <w:rPr>
          <w:i/>
        </w:rPr>
        <w:t>9</w:t>
      </w:r>
      <w:r w:rsidRPr="009E4978">
        <w:rPr>
          <w:i/>
        </w:rPr>
        <w:t>)</w:t>
      </w:r>
    </w:p>
    <w:p w:rsidR="00142949" w:rsidRPr="008B01B2" w:rsidRDefault="00142949" w:rsidP="00C704E6">
      <w:pPr>
        <w:rPr>
          <w:sz w:val="26"/>
          <w:szCs w:val="26"/>
        </w:rPr>
      </w:pPr>
    </w:p>
    <w:p w:rsidR="00142949" w:rsidRPr="00671186" w:rsidRDefault="007A7083" w:rsidP="00001D0A">
      <w:pPr>
        <w:jc w:val="center"/>
        <w:rPr>
          <w:sz w:val="26"/>
          <w:szCs w:val="26"/>
        </w:rPr>
      </w:pPr>
      <w:r w:rsidRPr="00F77424">
        <w:rPr>
          <w:sz w:val="26"/>
          <w:szCs w:val="26"/>
        </w:rPr>
        <w:t>29</w:t>
      </w:r>
      <w:r>
        <w:rPr>
          <w:sz w:val="26"/>
          <w:szCs w:val="26"/>
        </w:rPr>
        <w:t xml:space="preserve"> апреля 2020</w:t>
      </w:r>
      <w:r w:rsidR="00142949" w:rsidRPr="008B01B2">
        <w:rPr>
          <w:sz w:val="26"/>
          <w:szCs w:val="26"/>
        </w:rPr>
        <w:t xml:space="preserve"> </w:t>
      </w:r>
      <w:r w:rsidR="00B54CE2" w:rsidRPr="008B01B2">
        <w:rPr>
          <w:sz w:val="26"/>
          <w:szCs w:val="26"/>
        </w:rPr>
        <w:t>г</w:t>
      </w:r>
      <w:r w:rsidR="00C54343" w:rsidRPr="008B01B2">
        <w:rPr>
          <w:sz w:val="26"/>
          <w:szCs w:val="26"/>
        </w:rPr>
        <w:t>ода</w:t>
      </w:r>
      <w:r w:rsidR="00B54CE2" w:rsidRPr="008B01B2">
        <w:rPr>
          <w:sz w:val="26"/>
          <w:szCs w:val="26"/>
        </w:rPr>
        <w:t xml:space="preserve">       </w:t>
      </w:r>
      <w:r w:rsidR="00142949" w:rsidRPr="008B01B2">
        <w:rPr>
          <w:sz w:val="26"/>
          <w:szCs w:val="26"/>
        </w:rPr>
        <w:t xml:space="preserve">  </w:t>
      </w:r>
      <w:r w:rsidR="000A48B1" w:rsidRPr="008B01B2">
        <w:rPr>
          <w:sz w:val="26"/>
          <w:szCs w:val="26"/>
        </w:rPr>
        <w:t xml:space="preserve"> </w:t>
      </w:r>
      <w:r w:rsidR="00C4603E" w:rsidRPr="008B01B2">
        <w:rPr>
          <w:sz w:val="26"/>
          <w:szCs w:val="26"/>
        </w:rPr>
        <w:t xml:space="preserve">   </w:t>
      </w:r>
      <w:r w:rsidR="00671186" w:rsidRPr="008B01B2">
        <w:rPr>
          <w:sz w:val="26"/>
          <w:szCs w:val="26"/>
        </w:rPr>
        <w:t xml:space="preserve"> </w:t>
      </w:r>
      <w:r w:rsidR="00C4603E" w:rsidRPr="008B01B2">
        <w:rPr>
          <w:sz w:val="26"/>
          <w:szCs w:val="26"/>
        </w:rPr>
        <w:t xml:space="preserve">        </w:t>
      </w:r>
      <w:r w:rsidR="00671186" w:rsidRPr="008B01B2">
        <w:rPr>
          <w:sz w:val="26"/>
          <w:szCs w:val="26"/>
        </w:rPr>
        <w:t xml:space="preserve">    </w:t>
      </w:r>
      <w:r w:rsidR="00783CD0" w:rsidRPr="008B01B2">
        <w:rPr>
          <w:sz w:val="26"/>
          <w:szCs w:val="26"/>
        </w:rPr>
        <w:t xml:space="preserve"> </w:t>
      </w:r>
      <w:r w:rsidR="00C4603E" w:rsidRPr="008B01B2">
        <w:rPr>
          <w:sz w:val="26"/>
          <w:szCs w:val="26"/>
        </w:rPr>
        <w:t xml:space="preserve"> </w:t>
      </w:r>
      <w:r w:rsidR="001036E9" w:rsidRPr="008B01B2">
        <w:rPr>
          <w:sz w:val="26"/>
          <w:szCs w:val="26"/>
        </w:rPr>
        <w:t xml:space="preserve">   </w:t>
      </w:r>
      <w:r w:rsidR="00142949" w:rsidRPr="008B01B2">
        <w:rPr>
          <w:sz w:val="26"/>
          <w:szCs w:val="26"/>
        </w:rPr>
        <w:t xml:space="preserve">     г. Дудинка          </w:t>
      </w:r>
      <w:r w:rsidR="00783CD0" w:rsidRPr="008B01B2">
        <w:rPr>
          <w:sz w:val="26"/>
          <w:szCs w:val="26"/>
        </w:rPr>
        <w:t xml:space="preserve">        </w:t>
      </w:r>
      <w:r w:rsidR="00C4603E" w:rsidRPr="008B01B2">
        <w:rPr>
          <w:sz w:val="26"/>
          <w:szCs w:val="26"/>
        </w:rPr>
        <w:t xml:space="preserve"> </w:t>
      </w:r>
      <w:r w:rsidR="00001D0A" w:rsidRPr="008B01B2">
        <w:rPr>
          <w:sz w:val="26"/>
          <w:szCs w:val="26"/>
        </w:rPr>
        <w:t xml:space="preserve">   </w:t>
      </w:r>
      <w:r w:rsidR="00C4603E" w:rsidRPr="008B01B2">
        <w:rPr>
          <w:sz w:val="26"/>
          <w:szCs w:val="26"/>
        </w:rPr>
        <w:t xml:space="preserve"> </w:t>
      </w:r>
      <w:r w:rsidR="00671186" w:rsidRPr="008B01B2">
        <w:rPr>
          <w:sz w:val="26"/>
          <w:szCs w:val="26"/>
        </w:rPr>
        <w:t xml:space="preserve">     </w:t>
      </w:r>
      <w:r w:rsidR="00C4603E" w:rsidRPr="008B01B2">
        <w:rPr>
          <w:sz w:val="26"/>
          <w:szCs w:val="26"/>
        </w:rPr>
        <w:t xml:space="preserve">  </w:t>
      </w:r>
      <w:r w:rsidR="00001D0A" w:rsidRPr="008B01B2">
        <w:rPr>
          <w:sz w:val="26"/>
          <w:szCs w:val="26"/>
        </w:rPr>
        <w:t xml:space="preserve">  </w:t>
      </w:r>
      <w:r w:rsidR="00142949" w:rsidRPr="008B01B2">
        <w:rPr>
          <w:sz w:val="26"/>
          <w:szCs w:val="26"/>
        </w:rPr>
        <w:t xml:space="preserve">   </w:t>
      </w:r>
      <w:r w:rsidR="00671186" w:rsidRPr="008B01B2">
        <w:rPr>
          <w:sz w:val="26"/>
          <w:szCs w:val="26"/>
        </w:rPr>
        <w:t xml:space="preserve">   </w:t>
      </w:r>
      <w:r w:rsidR="00142949" w:rsidRPr="008B01B2">
        <w:rPr>
          <w:sz w:val="26"/>
          <w:szCs w:val="26"/>
        </w:rPr>
        <w:t xml:space="preserve">                № </w:t>
      </w:r>
      <w:r w:rsidR="004D777B" w:rsidRPr="00F77424">
        <w:rPr>
          <w:sz w:val="26"/>
          <w:szCs w:val="26"/>
        </w:rPr>
        <w:t>0</w:t>
      </w:r>
      <w:r w:rsidR="00E22DF0">
        <w:rPr>
          <w:sz w:val="26"/>
          <w:szCs w:val="26"/>
        </w:rPr>
        <w:t>9</w:t>
      </w:r>
      <w:r w:rsidR="00142949" w:rsidRPr="00F77424">
        <w:rPr>
          <w:sz w:val="26"/>
          <w:szCs w:val="26"/>
        </w:rPr>
        <w:t>-05</w:t>
      </w:r>
    </w:p>
    <w:p w:rsidR="00F04C1F" w:rsidRPr="00E22C3F" w:rsidRDefault="00F04C1F">
      <w:pPr>
        <w:ind w:firstLine="720"/>
        <w:jc w:val="both"/>
        <w:rPr>
          <w:sz w:val="26"/>
          <w:szCs w:val="26"/>
        </w:rPr>
      </w:pPr>
    </w:p>
    <w:p w:rsidR="00CD3135" w:rsidRPr="002F2D48" w:rsidRDefault="006E497F" w:rsidP="00362A4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Внешняя проверка годового отчета об исполнении бюджета города Дудинки за 201</w:t>
      </w:r>
      <w:r w:rsidR="00B4077C" w:rsidRPr="002F2D48">
        <w:rPr>
          <w:sz w:val="26"/>
          <w:szCs w:val="26"/>
        </w:rPr>
        <w:t>9</w:t>
      </w:r>
      <w:r w:rsidRPr="002F2D48">
        <w:rPr>
          <w:sz w:val="26"/>
          <w:szCs w:val="26"/>
        </w:rPr>
        <w:t xml:space="preserve"> год осуществлена на основании </w:t>
      </w:r>
      <w:r w:rsidR="00CD3135" w:rsidRPr="002F2D48">
        <w:rPr>
          <w:sz w:val="26"/>
          <w:szCs w:val="26"/>
        </w:rPr>
        <w:t>статей 264.4, 268.1 Бюджетного кодекса Российской Федерации, обращени</w:t>
      </w:r>
      <w:r w:rsidR="009740DE" w:rsidRPr="002F2D48">
        <w:rPr>
          <w:sz w:val="26"/>
          <w:szCs w:val="26"/>
        </w:rPr>
        <w:t>я</w:t>
      </w:r>
      <w:r w:rsidR="00CD3135" w:rsidRPr="002F2D48">
        <w:rPr>
          <w:sz w:val="26"/>
          <w:szCs w:val="26"/>
        </w:rPr>
        <w:t xml:space="preserve">  Дудинского  городского  Совета  депутатов о проведении внешней  проверки  годового  отчета  об  исполнении  городского  бюджета за 201</w:t>
      </w:r>
      <w:r w:rsidR="00B4077C" w:rsidRPr="002F2D48">
        <w:rPr>
          <w:sz w:val="26"/>
          <w:szCs w:val="26"/>
        </w:rPr>
        <w:t>9</w:t>
      </w:r>
      <w:r w:rsidR="00CD3135" w:rsidRPr="002F2D48">
        <w:rPr>
          <w:sz w:val="26"/>
          <w:szCs w:val="26"/>
        </w:rPr>
        <w:t xml:space="preserve"> год, утвержденно</w:t>
      </w:r>
      <w:r w:rsidR="009740DE" w:rsidRPr="002F2D48">
        <w:rPr>
          <w:sz w:val="26"/>
          <w:szCs w:val="26"/>
        </w:rPr>
        <w:t>го</w:t>
      </w:r>
      <w:r w:rsidR="00CD3135" w:rsidRPr="002F2D48">
        <w:rPr>
          <w:sz w:val="26"/>
          <w:szCs w:val="26"/>
        </w:rPr>
        <w:t xml:space="preserve"> Решением Дудинского городского Совета депутатов от  </w:t>
      </w:r>
      <w:r w:rsidR="00597C8B">
        <w:rPr>
          <w:sz w:val="26"/>
          <w:szCs w:val="26"/>
        </w:rPr>
        <w:t>12.03</w:t>
      </w:r>
      <w:r w:rsidR="00B4077C" w:rsidRPr="002F2D48">
        <w:rPr>
          <w:sz w:val="26"/>
          <w:szCs w:val="26"/>
        </w:rPr>
        <w:t>.2020</w:t>
      </w:r>
      <w:r w:rsidR="00CD3135" w:rsidRPr="002F2D48">
        <w:rPr>
          <w:sz w:val="26"/>
          <w:szCs w:val="26"/>
        </w:rPr>
        <w:t xml:space="preserve"> № </w:t>
      </w:r>
      <w:r w:rsidR="00B4077C" w:rsidRPr="002F2D48">
        <w:rPr>
          <w:sz w:val="26"/>
          <w:szCs w:val="26"/>
        </w:rPr>
        <w:t>04-0103</w:t>
      </w:r>
      <w:r w:rsidR="00CD3135" w:rsidRPr="002F2D48">
        <w:rPr>
          <w:sz w:val="26"/>
          <w:szCs w:val="26"/>
        </w:rPr>
        <w:t>, пункт</w:t>
      </w:r>
      <w:r w:rsidR="009740DE" w:rsidRPr="002F2D48">
        <w:rPr>
          <w:sz w:val="26"/>
          <w:szCs w:val="26"/>
        </w:rPr>
        <w:t>ов</w:t>
      </w:r>
      <w:r w:rsidR="00B4077C" w:rsidRPr="002F2D48">
        <w:rPr>
          <w:sz w:val="26"/>
          <w:szCs w:val="26"/>
        </w:rPr>
        <w:t xml:space="preserve"> 1.5, 2.3</w:t>
      </w:r>
      <w:r w:rsidR="00CD3135" w:rsidRPr="002F2D48">
        <w:rPr>
          <w:sz w:val="26"/>
          <w:szCs w:val="26"/>
        </w:rPr>
        <w:t xml:space="preserve"> Плана работы Контрольно-Счетной палаты </w:t>
      </w:r>
      <w:r w:rsidR="00424C67" w:rsidRPr="002F2D48">
        <w:rPr>
          <w:sz w:val="26"/>
          <w:szCs w:val="26"/>
        </w:rPr>
        <w:t xml:space="preserve">Таймырского Долгано-Ненецкого муниципального района </w:t>
      </w:r>
      <w:r w:rsidR="00CD3135" w:rsidRPr="002F2D48">
        <w:rPr>
          <w:sz w:val="26"/>
          <w:szCs w:val="26"/>
        </w:rPr>
        <w:t>(далее –</w:t>
      </w:r>
      <w:r w:rsidR="00424C67" w:rsidRPr="002F2D48">
        <w:rPr>
          <w:sz w:val="26"/>
          <w:szCs w:val="26"/>
        </w:rPr>
        <w:t xml:space="preserve"> Контрольно-Счетная палата,</w:t>
      </w:r>
      <w:r w:rsidR="00B4077C" w:rsidRPr="002F2D48">
        <w:rPr>
          <w:sz w:val="26"/>
          <w:szCs w:val="26"/>
        </w:rPr>
        <w:t xml:space="preserve"> КСП) на 2020</w:t>
      </w:r>
      <w:r w:rsidR="00CD3135" w:rsidRPr="002F2D48">
        <w:rPr>
          <w:sz w:val="26"/>
          <w:szCs w:val="26"/>
        </w:rPr>
        <w:t xml:space="preserve"> год, Распоряжени</w:t>
      </w:r>
      <w:r w:rsidR="009740DE" w:rsidRPr="002F2D48">
        <w:rPr>
          <w:sz w:val="26"/>
          <w:szCs w:val="26"/>
        </w:rPr>
        <w:t>я</w:t>
      </w:r>
      <w:r w:rsidR="00CD3135" w:rsidRPr="002F2D48">
        <w:rPr>
          <w:sz w:val="26"/>
          <w:szCs w:val="26"/>
        </w:rPr>
        <w:t xml:space="preserve"> </w:t>
      </w:r>
      <w:r w:rsidR="009C3570" w:rsidRPr="002F2D48">
        <w:rPr>
          <w:sz w:val="26"/>
          <w:szCs w:val="26"/>
        </w:rPr>
        <w:t>К</w:t>
      </w:r>
      <w:r w:rsidR="006431D4" w:rsidRPr="002F2D48">
        <w:rPr>
          <w:sz w:val="26"/>
          <w:szCs w:val="26"/>
        </w:rPr>
        <w:t>онтрольно-</w:t>
      </w:r>
      <w:r w:rsidR="009C3570" w:rsidRPr="002F2D48">
        <w:rPr>
          <w:sz w:val="26"/>
          <w:szCs w:val="26"/>
        </w:rPr>
        <w:t>С</w:t>
      </w:r>
      <w:r w:rsidR="006431D4" w:rsidRPr="002F2D48">
        <w:rPr>
          <w:sz w:val="26"/>
          <w:szCs w:val="26"/>
        </w:rPr>
        <w:t>четной палаты</w:t>
      </w:r>
      <w:r w:rsidR="00B4077C" w:rsidRPr="002F2D48">
        <w:rPr>
          <w:sz w:val="26"/>
          <w:szCs w:val="26"/>
        </w:rPr>
        <w:t xml:space="preserve"> от 10.04.2020</w:t>
      </w:r>
      <w:r w:rsidR="00CD3135" w:rsidRPr="002F2D48">
        <w:rPr>
          <w:sz w:val="26"/>
          <w:szCs w:val="26"/>
        </w:rPr>
        <w:t xml:space="preserve"> № 5.</w:t>
      </w:r>
    </w:p>
    <w:p w:rsidR="00142949" w:rsidRPr="002F2D48" w:rsidRDefault="00142949" w:rsidP="00362A4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Цель проверки: оценка достоверности показателей отчета об исполнении </w:t>
      </w:r>
      <w:r w:rsidR="00E1469E" w:rsidRPr="002F2D48">
        <w:rPr>
          <w:sz w:val="26"/>
          <w:szCs w:val="26"/>
        </w:rPr>
        <w:t>бюджета</w:t>
      </w:r>
      <w:r w:rsidR="00783CD0" w:rsidRPr="002F2D48">
        <w:rPr>
          <w:sz w:val="26"/>
          <w:szCs w:val="26"/>
        </w:rPr>
        <w:t xml:space="preserve"> города Дудинка (далее – городского бюджета)</w:t>
      </w:r>
      <w:r w:rsidR="00BC070A" w:rsidRPr="002F2D48">
        <w:rPr>
          <w:sz w:val="26"/>
          <w:szCs w:val="26"/>
        </w:rPr>
        <w:t xml:space="preserve"> и его соответстви</w:t>
      </w:r>
      <w:r w:rsidR="00783CD0" w:rsidRPr="002F2D48">
        <w:rPr>
          <w:sz w:val="26"/>
          <w:szCs w:val="26"/>
        </w:rPr>
        <w:t>е</w:t>
      </w:r>
      <w:r w:rsidR="00BC070A" w:rsidRPr="002F2D48">
        <w:rPr>
          <w:sz w:val="26"/>
          <w:szCs w:val="26"/>
        </w:rPr>
        <w:t xml:space="preserve"> положениям бюджетного законодательства</w:t>
      </w:r>
      <w:r w:rsidRPr="002F2D48">
        <w:rPr>
          <w:sz w:val="26"/>
          <w:szCs w:val="26"/>
        </w:rPr>
        <w:t>.</w:t>
      </w:r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Задачи проверки:</w:t>
      </w:r>
    </w:p>
    <w:p w:rsidR="000A4BE9" w:rsidRPr="002F2D48" w:rsidRDefault="000A4BE9" w:rsidP="00362A49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анализ бюджетной отчетности </w:t>
      </w:r>
      <w:r w:rsidR="003B232E" w:rsidRPr="002F2D48">
        <w:rPr>
          <w:sz w:val="26"/>
          <w:szCs w:val="26"/>
        </w:rPr>
        <w:t xml:space="preserve">главных администраторов бюджетных средств </w:t>
      </w:r>
      <w:r w:rsidRPr="002F2D48">
        <w:rPr>
          <w:sz w:val="26"/>
          <w:szCs w:val="26"/>
        </w:rPr>
        <w:t>городского</w:t>
      </w:r>
      <w:r w:rsidR="003B32A1" w:rsidRPr="002F2D48">
        <w:rPr>
          <w:sz w:val="26"/>
          <w:szCs w:val="26"/>
        </w:rPr>
        <w:t xml:space="preserve"> бюджета за 2019</w:t>
      </w:r>
      <w:r w:rsidRPr="002F2D48">
        <w:rPr>
          <w:sz w:val="26"/>
          <w:szCs w:val="26"/>
        </w:rPr>
        <w:t xml:space="preserve"> год, проверка соблюдения порядка ее консолидации; </w:t>
      </w:r>
    </w:p>
    <w:p w:rsidR="000A4BE9" w:rsidRPr="002F2D48" w:rsidRDefault="000A4BE9" w:rsidP="00362A49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2F2D48">
        <w:rPr>
          <w:sz w:val="26"/>
          <w:szCs w:val="26"/>
        </w:rPr>
        <w:t>- анализ и проверка соблюдения бюджетного законодател</w:t>
      </w:r>
      <w:r w:rsidR="003B232E" w:rsidRPr="002F2D48">
        <w:rPr>
          <w:sz w:val="26"/>
          <w:szCs w:val="26"/>
        </w:rPr>
        <w:t xml:space="preserve">ьства при организации </w:t>
      </w:r>
      <w:r w:rsidR="00E53417" w:rsidRPr="002F2D48">
        <w:rPr>
          <w:sz w:val="26"/>
          <w:szCs w:val="26"/>
        </w:rPr>
        <w:t xml:space="preserve">и </w:t>
      </w:r>
      <w:r w:rsidR="003B232E" w:rsidRPr="002F2D48">
        <w:rPr>
          <w:sz w:val="26"/>
          <w:szCs w:val="26"/>
        </w:rPr>
        <w:t>исполнении</w:t>
      </w:r>
      <w:r w:rsidRPr="002F2D48">
        <w:rPr>
          <w:sz w:val="26"/>
          <w:szCs w:val="26"/>
        </w:rPr>
        <w:t xml:space="preserve"> городского бю</w:t>
      </w:r>
      <w:r w:rsidR="003B32A1" w:rsidRPr="002F2D48">
        <w:rPr>
          <w:sz w:val="26"/>
          <w:szCs w:val="26"/>
        </w:rPr>
        <w:t>джета в 2019</w:t>
      </w:r>
      <w:r w:rsidR="00CE7E77" w:rsidRPr="002F2D48">
        <w:rPr>
          <w:sz w:val="26"/>
          <w:szCs w:val="26"/>
        </w:rPr>
        <w:t xml:space="preserve"> году;</w:t>
      </w:r>
    </w:p>
    <w:p w:rsidR="00CE7E77" w:rsidRPr="002F2D48" w:rsidRDefault="00CE7E77" w:rsidP="00362A49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2F2D48">
        <w:rPr>
          <w:sz w:val="26"/>
          <w:szCs w:val="26"/>
        </w:rPr>
        <w:t>- иные задачи, обусловленные целью внешней проверки.</w:t>
      </w:r>
    </w:p>
    <w:p w:rsidR="00CC33E7" w:rsidRPr="002F2D48" w:rsidRDefault="00CC33E7" w:rsidP="00362A4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>Объект проверки: Финансовый комитет Администрации города Дудинки</w:t>
      </w:r>
      <w:r w:rsidR="00584D10" w:rsidRPr="002F2D48">
        <w:rPr>
          <w:sz w:val="26"/>
          <w:szCs w:val="26"/>
        </w:rPr>
        <w:t xml:space="preserve"> (далее – Финансовый комитет)</w:t>
      </w:r>
      <w:r w:rsidR="00D326DE" w:rsidRPr="002F2D48">
        <w:rPr>
          <w:sz w:val="26"/>
          <w:szCs w:val="26"/>
        </w:rPr>
        <w:t>, ка</w:t>
      </w:r>
      <w:r w:rsidR="000E0A86" w:rsidRPr="002F2D48">
        <w:rPr>
          <w:sz w:val="26"/>
          <w:szCs w:val="26"/>
        </w:rPr>
        <w:t>к орган, организующий исполнение</w:t>
      </w:r>
      <w:r w:rsidR="00D326DE" w:rsidRPr="002F2D48">
        <w:rPr>
          <w:sz w:val="26"/>
          <w:szCs w:val="26"/>
        </w:rPr>
        <w:t xml:space="preserve"> городского бюджета, главные администраторы бюджетных средств</w:t>
      </w:r>
      <w:r w:rsidR="00C33CA1" w:rsidRPr="002F2D48">
        <w:rPr>
          <w:sz w:val="26"/>
          <w:szCs w:val="26"/>
        </w:rPr>
        <w:t xml:space="preserve"> городского бюджета</w:t>
      </w:r>
      <w:r w:rsidR="00D326DE" w:rsidRPr="002F2D48">
        <w:rPr>
          <w:sz w:val="26"/>
          <w:szCs w:val="26"/>
        </w:rPr>
        <w:t xml:space="preserve"> (далее – ГАБС)</w:t>
      </w:r>
      <w:r w:rsidR="00783CD0" w:rsidRPr="002F2D48">
        <w:rPr>
          <w:sz w:val="26"/>
          <w:szCs w:val="26"/>
        </w:rPr>
        <w:t>.</w:t>
      </w:r>
    </w:p>
    <w:p w:rsidR="00E1469E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Предмет проверки: годовой отчет об исполнении городского бюджета за 201</w:t>
      </w:r>
      <w:r w:rsidR="003B32A1" w:rsidRPr="002F2D48">
        <w:rPr>
          <w:sz w:val="26"/>
          <w:szCs w:val="26"/>
        </w:rPr>
        <w:t>9</w:t>
      </w:r>
      <w:r w:rsidRPr="002F2D48">
        <w:rPr>
          <w:sz w:val="26"/>
          <w:szCs w:val="26"/>
        </w:rPr>
        <w:t xml:space="preserve"> год, </w:t>
      </w:r>
      <w:r w:rsidR="00CD3135" w:rsidRPr="002F2D48">
        <w:rPr>
          <w:sz w:val="26"/>
          <w:szCs w:val="26"/>
        </w:rPr>
        <w:t>бюджетн</w:t>
      </w:r>
      <w:r w:rsidR="006557A2" w:rsidRPr="002F2D48">
        <w:rPr>
          <w:sz w:val="26"/>
          <w:szCs w:val="26"/>
        </w:rPr>
        <w:t>ая</w:t>
      </w:r>
      <w:r w:rsidR="00CD3135" w:rsidRPr="002F2D48">
        <w:rPr>
          <w:sz w:val="26"/>
          <w:szCs w:val="26"/>
        </w:rPr>
        <w:t xml:space="preserve"> отчетност</w:t>
      </w:r>
      <w:r w:rsidR="006557A2" w:rsidRPr="002F2D48">
        <w:rPr>
          <w:sz w:val="26"/>
          <w:szCs w:val="26"/>
        </w:rPr>
        <w:t>ь</w:t>
      </w:r>
      <w:r w:rsidR="00CD3135" w:rsidRPr="002F2D48">
        <w:rPr>
          <w:sz w:val="26"/>
          <w:szCs w:val="26"/>
        </w:rPr>
        <w:t xml:space="preserve"> </w:t>
      </w:r>
      <w:r w:rsidR="00C33CA1" w:rsidRPr="002F2D48">
        <w:rPr>
          <w:sz w:val="26"/>
          <w:szCs w:val="26"/>
        </w:rPr>
        <w:t>ГАБС</w:t>
      </w:r>
      <w:r w:rsidR="006557A2" w:rsidRPr="002F2D48">
        <w:rPr>
          <w:sz w:val="26"/>
          <w:szCs w:val="26"/>
        </w:rPr>
        <w:t xml:space="preserve"> за 201</w:t>
      </w:r>
      <w:r w:rsidR="003B32A1" w:rsidRPr="002F2D48">
        <w:rPr>
          <w:sz w:val="26"/>
          <w:szCs w:val="26"/>
        </w:rPr>
        <w:t>9</w:t>
      </w:r>
      <w:r w:rsidR="006557A2" w:rsidRPr="002F2D48">
        <w:rPr>
          <w:sz w:val="26"/>
          <w:szCs w:val="26"/>
        </w:rPr>
        <w:t xml:space="preserve"> год,</w:t>
      </w:r>
      <w:r w:rsidR="00CD3135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дополнительные документы и материалы, подтверждающие исполнение городского бюджета.</w:t>
      </w:r>
    </w:p>
    <w:p w:rsidR="00A67022" w:rsidRPr="002F2D48" w:rsidRDefault="00EB2399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Внешняя п</w:t>
      </w:r>
      <w:r w:rsidR="00E1469E" w:rsidRPr="002F2D48">
        <w:rPr>
          <w:sz w:val="26"/>
          <w:szCs w:val="26"/>
        </w:rPr>
        <w:t xml:space="preserve">роверка осуществлялась </w:t>
      </w:r>
      <w:r w:rsidR="00A67022" w:rsidRPr="002F2D48">
        <w:rPr>
          <w:sz w:val="26"/>
          <w:szCs w:val="26"/>
        </w:rPr>
        <w:t xml:space="preserve">начальником экспертно-аналитического отдела </w:t>
      </w:r>
      <w:r w:rsidR="006575A4" w:rsidRPr="002F2D48">
        <w:rPr>
          <w:sz w:val="26"/>
          <w:szCs w:val="26"/>
        </w:rPr>
        <w:t>–</w:t>
      </w:r>
      <w:r w:rsidR="00A84581" w:rsidRPr="002F2D48">
        <w:rPr>
          <w:sz w:val="26"/>
          <w:szCs w:val="26"/>
        </w:rPr>
        <w:t xml:space="preserve"> </w:t>
      </w:r>
      <w:r w:rsidR="00A67022" w:rsidRPr="002F2D48">
        <w:rPr>
          <w:sz w:val="26"/>
          <w:szCs w:val="26"/>
        </w:rPr>
        <w:t>С.А. Симутиным в соответствии со Стандартом внешнего муниципального финансового контроля СФК 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КСП от 30.09.2013 № 14</w:t>
      </w:r>
      <w:r w:rsidR="003B32A1" w:rsidRPr="002F2D48">
        <w:rPr>
          <w:sz w:val="26"/>
          <w:szCs w:val="26"/>
        </w:rPr>
        <w:t xml:space="preserve"> (с изменениями от 11.02.2020 № 3)</w:t>
      </w:r>
      <w:r w:rsidR="00A67022" w:rsidRPr="002F2D48">
        <w:rPr>
          <w:sz w:val="26"/>
          <w:szCs w:val="26"/>
        </w:rPr>
        <w:t xml:space="preserve">. </w:t>
      </w:r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Метод проведения проверки - камеральный.</w:t>
      </w:r>
    </w:p>
    <w:p w:rsidR="00526F9E" w:rsidRPr="002F2D48" w:rsidRDefault="00526F9E" w:rsidP="00EA0E10">
      <w:pPr>
        <w:jc w:val="center"/>
        <w:rPr>
          <w:b/>
          <w:bCs/>
          <w:sz w:val="26"/>
          <w:szCs w:val="26"/>
        </w:rPr>
      </w:pPr>
    </w:p>
    <w:p w:rsidR="00142949" w:rsidRPr="002F2D48" w:rsidRDefault="00EB2399" w:rsidP="00EA0E10">
      <w:pPr>
        <w:jc w:val="center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t>Общие положения</w:t>
      </w:r>
    </w:p>
    <w:p w:rsidR="00142949" w:rsidRPr="002F2D48" w:rsidRDefault="00142949" w:rsidP="006D3FC0">
      <w:pPr>
        <w:ind w:firstLine="709"/>
        <w:jc w:val="both"/>
        <w:rPr>
          <w:b/>
          <w:bCs/>
          <w:sz w:val="16"/>
          <w:szCs w:val="16"/>
        </w:rPr>
      </w:pPr>
    </w:p>
    <w:p w:rsidR="0059302E" w:rsidRPr="002F2D48" w:rsidRDefault="002E6D9B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п. 3</w:t>
      </w:r>
      <w:r w:rsidR="0079649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ст. 264.4. Бюджетного кодекса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Российской Федерации (далее – БК РФ) о</w:t>
      </w:r>
      <w:r w:rsidR="00FD1D9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тчет об исполнении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="00FD1D9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бюджета </w:t>
      </w:r>
      <w:r w:rsidR="007D37E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за 201</w:t>
      </w:r>
      <w:r w:rsidR="003B32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7D37E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(ф. 0503117)</w:t>
      </w:r>
      <w:r w:rsidR="0079649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представлен </w:t>
      </w:r>
      <w:r w:rsidR="00FD1D9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20335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КСП</w:t>
      </w:r>
      <w:r w:rsidR="007D37E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 соблюдени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ем срока, установленного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п. 3 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ст. 37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Положения о бюджетном процессе в городе Дудинка, утвержденного Ре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шением Городского собрания от 13.12.2017 № 10-0391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Положение о бюджетном процессе)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D1D9D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Одновременно с отчетом об исполнении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за 201</w:t>
      </w:r>
      <w:r w:rsidR="003B32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D71F9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представлен</w:t>
      </w:r>
      <w:r w:rsidR="0052165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отчетная документация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9302E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баланс исполнения бюджета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0503120)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59302E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отчет о финансовых результатах деятельности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0503121)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59302E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55008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r w:rsidR="0055008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чет о движении денежных средств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0503123)</w:t>
      </w:r>
      <w:r w:rsidR="0055008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55008C" w:rsidRPr="002F2D48" w:rsidRDefault="0055008C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пояснительная записка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0503160)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326DE" w:rsidRPr="002F2D48" w:rsidRDefault="00FD1D9D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ходе проверки проанализированы следующие нормативные правовые акты:</w:t>
      </w:r>
    </w:p>
    <w:p w:rsidR="00EB2399" w:rsidRPr="002F2D48" w:rsidRDefault="00D326D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C87F7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Дудинского г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ородского</w:t>
      </w:r>
      <w:r w:rsidR="004F1560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2E6D9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епутатов</w:t>
      </w:r>
      <w:r w:rsidR="004F1560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87F7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19.12.2018</w:t>
      </w:r>
      <w:r w:rsidR="00D8522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01-0011</w:t>
      </w:r>
      <w:r w:rsidR="004032C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городском бюджете на 201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E932D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год и плановый период 2020-2021</w:t>
      </w:r>
      <w:r w:rsidR="004032C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годов»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ред. 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20.02.2019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>02-0022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12.04.2019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>02-0034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07.05.2019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 ВЗ-0045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21.06.2019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>02-0049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25.10.2019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>03-0072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13.12.2019 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4F1AB9" w:rsidRPr="002F2D48">
        <w:rPr>
          <w:rFonts w:ascii="Times New Roman" w:hAnsi="Times New Roman" w:cs="Times New Roman"/>
          <w:b w:val="0"/>
          <w:sz w:val="26"/>
          <w:szCs w:val="26"/>
        </w:rPr>
        <w:t xml:space="preserve"> ВЗ-0088</w:t>
      </w:r>
      <w:r w:rsidR="007217A9" w:rsidRPr="002F2D48">
        <w:rPr>
          <w:rFonts w:ascii="Times New Roman" w:hAnsi="Times New Roman" w:cs="Times New Roman"/>
          <w:b w:val="0"/>
          <w:sz w:val="26"/>
          <w:szCs w:val="26"/>
        </w:rPr>
        <w:t>, от 19.12.2019 № 03-0091</w:t>
      </w:r>
      <w:r w:rsidR="00035595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5434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(далее – Решение о бюджете на 201</w:t>
      </w:r>
      <w:r w:rsidR="004C0B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C5434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год)</w:t>
      </w:r>
      <w:r w:rsidR="005446A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87F7A" w:rsidRPr="002F2D48" w:rsidRDefault="00DE03A5" w:rsidP="00FC2668">
      <w:pPr>
        <w:pStyle w:val="ConsPlusTitle"/>
        <w:spacing w:after="24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Иные документы, относящиеся к исполнению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201</w:t>
      </w:r>
      <w:r w:rsidR="004C0B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7C0A8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04C1F" w:rsidRPr="002F2D48" w:rsidRDefault="007C0A8F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ст. 264.4 БК РФ в рамках проведения внешней проверки 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отчета об исполнении </w:t>
      </w:r>
      <w:r w:rsidR="006C4316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бюджета за 201</w:t>
      </w:r>
      <w:r w:rsidR="0050590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была проведена проверка 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годовой 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бюджетной отчетности </w:t>
      </w:r>
      <w:r w:rsidR="0064402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пяти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ГАБС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бюджета.</w:t>
      </w:r>
      <w:r w:rsidR="00C0019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62A49" w:rsidRPr="002F2D48" w:rsidRDefault="000A4BE9" w:rsidP="00362A49">
      <w:pPr>
        <w:pStyle w:val="af8"/>
        <w:spacing w:line="276" w:lineRule="auto"/>
        <w:ind w:left="0" w:firstLine="709"/>
        <w:jc w:val="both"/>
        <w:outlineLvl w:val="2"/>
        <w:rPr>
          <w:bCs/>
          <w:sz w:val="16"/>
          <w:szCs w:val="16"/>
        </w:rPr>
      </w:pPr>
      <w:r w:rsidRPr="002F2D48">
        <w:rPr>
          <w:bCs/>
          <w:sz w:val="26"/>
          <w:szCs w:val="26"/>
        </w:rPr>
        <w:t>В ходе осуществления внешней проверки дана оценка содержащейся в годовой бюджетной отчетности информации о бюджетной деятельности субъектов бюджетной отчетности. Фактов недостоверности бюджетной отчетности, а также фактов способных негативно повлиять на достоверност</w:t>
      </w:r>
      <w:r w:rsidR="00C274C0" w:rsidRPr="002F2D48">
        <w:rPr>
          <w:bCs/>
          <w:sz w:val="26"/>
          <w:szCs w:val="26"/>
        </w:rPr>
        <w:t>ь отчета об испол</w:t>
      </w:r>
      <w:r w:rsidR="00505907" w:rsidRPr="002F2D48">
        <w:rPr>
          <w:bCs/>
          <w:sz w:val="26"/>
          <w:szCs w:val="26"/>
        </w:rPr>
        <w:t>нении городского бюджета за 2019</w:t>
      </w:r>
      <w:r w:rsidRPr="002F2D48">
        <w:rPr>
          <w:bCs/>
          <w:sz w:val="26"/>
          <w:szCs w:val="26"/>
        </w:rPr>
        <w:t xml:space="preserve"> год, не установлено.</w:t>
      </w:r>
      <w:r w:rsidR="00234731">
        <w:rPr>
          <w:bCs/>
          <w:sz w:val="26"/>
          <w:szCs w:val="26"/>
        </w:rPr>
        <w:t xml:space="preserve"> Результаты проверки бюджетной отчетности ГАБС отражены в разделе 6 настоящего заключения.</w:t>
      </w:r>
      <w:r w:rsidR="00FC2668" w:rsidRPr="002F2D48">
        <w:rPr>
          <w:sz w:val="26"/>
          <w:szCs w:val="26"/>
        </w:rPr>
        <w:t xml:space="preserve"> </w:t>
      </w:r>
    </w:p>
    <w:p w:rsidR="0021238E" w:rsidRPr="002F2D48" w:rsidRDefault="0021238E" w:rsidP="00D52BD6">
      <w:pPr>
        <w:pStyle w:val="af8"/>
        <w:spacing w:line="276" w:lineRule="auto"/>
        <w:ind w:left="0" w:firstLine="709"/>
        <w:jc w:val="center"/>
        <w:outlineLvl w:val="2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lastRenderedPageBreak/>
        <w:t xml:space="preserve">Анализ </w:t>
      </w:r>
      <w:r w:rsidR="00F77608" w:rsidRPr="002F2D48">
        <w:rPr>
          <w:b/>
          <w:bCs/>
          <w:sz w:val="26"/>
          <w:szCs w:val="26"/>
        </w:rPr>
        <w:t xml:space="preserve">основных параметров </w:t>
      </w:r>
      <w:r w:rsidRPr="002F2D48">
        <w:rPr>
          <w:b/>
          <w:bCs/>
          <w:sz w:val="26"/>
          <w:szCs w:val="26"/>
        </w:rPr>
        <w:t xml:space="preserve">городского бюджета </w:t>
      </w:r>
      <w:r w:rsidR="00F77608" w:rsidRPr="002F2D48">
        <w:rPr>
          <w:b/>
          <w:bCs/>
          <w:sz w:val="26"/>
          <w:szCs w:val="26"/>
        </w:rPr>
        <w:t>на</w:t>
      </w:r>
      <w:r w:rsidRPr="002F2D48">
        <w:rPr>
          <w:b/>
          <w:bCs/>
          <w:sz w:val="26"/>
          <w:szCs w:val="26"/>
        </w:rPr>
        <w:t xml:space="preserve"> 201</w:t>
      </w:r>
      <w:r w:rsidR="00DA2982">
        <w:rPr>
          <w:b/>
          <w:bCs/>
          <w:sz w:val="26"/>
          <w:szCs w:val="26"/>
        </w:rPr>
        <w:t>9</w:t>
      </w:r>
      <w:r w:rsidR="00C1429A" w:rsidRPr="002F2D48">
        <w:rPr>
          <w:b/>
          <w:bCs/>
          <w:sz w:val="26"/>
          <w:szCs w:val="26"/>
        </w:rPr>
        <w:t xml:space="preserve"> </w:t>
      </w:r>
      <w:r w:rsidRPr="002F2D48">
        <w:rPr>
          <w:b/>
          <w:bCs/>
          <w:sz w:val="26"/>
          <w:szCs w:val="26"/>
        </w:rPr>
        <w:t>год</w:t>
      </w:r>
    </w:p>
    <w:p w:rsidR="00D47AC1" w:rsidRPr="002F2D48" w:rsidRDefault="00D47AC1">
      <w:pPr>
        <w:ind w:firstLine="720"/>
        <w:jc w:val="both"/>
        <w:rPr>
          <w:bCs/>
          <w:sz w:val="16"/>
          <w:szCs w:val="16"/>
        </w:rPr>
      </w:pPr>
    </w:p>
    <w:p w:rsidR="006B7FEF" w:rsidRPr="002F2D48" w:rsidRDefault="00B84522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первоначальной редакции Решения о бюджете на 201</w:t>
      </w:r>
      <w:r w:rsidR="00793B7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городской 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бюджет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был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утвержден по доходам в сумме </w:t>
      </w:r>
      <w:r w:rsidR="00793B73" w:rsidRPr="002F2D48">
        <w:rPr>
          <w:rFonts w:ascii="Times New Roman" w:hAnsi="Times New Roman" w:cs="Times New Roman"/>
          <w:b w:val="0"/>
          <w:sz w:val="26"/>
          <w:szCs w:val="26"/>
        </w:rPr>
        <w:t>804 814,69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, по расходам в сумме </w:t>
      </w:r>
      <w:r w:rsidR="00793B73" w:rsidRPr="002F2D48">
        <w:rPr>
          <w:rFonts w:ascii="Times New Roman" w:hAnsi="Times New Roman" w:cs="Times New Roman"/>
          <w:b w:val="0"/>
          <w:sz w:val="26"/>
          <w:szCs w:val="26"/>
        </w:rPr>
        <w:t>816 378,54</w:t>
      </w:r>
      <w:r w:rsidR="00A1348E" w:rsidRPr="002F2D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дефицитом бюджета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сумме </w:t>
      </w:r>
      <w:r w:rsidR="00793B73" w:rsidRPr="002F2D48">
        <w:rPr>
          <w:rFonts w:ascii="Times New Roman" w:hAnsi="Times New Roman" w:cs="Times New Roman"/>
          <w:b w:val="0"/>
          <w:sz w:val="26"/>
          <w:szCs w:val="26"/>
        </w:rPr>
        <w:t>11 563,85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76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 руб</w:t>
      </w:r>
      <w:r w:rsidR="006B7FE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90554B" w:rsidRPr="002F2D48" w:rsidRDefault="00AF683B" w:rsidP="00362A4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Дефицит бюджета поселения </w:t>
      </w:r>
      <w:r w:rsidR="007A5FEF" w:rsidRPr="002F2D48">
        <w:rPr>
          <w:sz w:val="26"/>
          <w:szCs w:val="26"/>
        </w:rPr>
        <w:t xml:space="preserve">не </w:t>
      </w:r>
      <w:r w:rsidRPr="002F2D48">
        <w:rPr>
          <w:sz w:val="26"/>
          <w:szCs w:val="26"/>
        </w:rPr>
        <w:t>превыша</w:t>
      </w:r>
      <w:r w:rsidR="00C33CA1" w:rsidRPr="002F2D48">
        <w:rPr>
          <w:sz w:val="26"/>
          <w:szCs w:val="26"/>
        </w:rPr>
        <w:t>л</w:t>
      </w:r>
      <w:r w:rsidRPr="002F2D48">
        <w:rPr>
          <w:sz w:val="26"/>
          <w:szCs w:val="26"/>
        </w:rPr>
        <w:t xml:space="preserve"> ограничения, установленные п. 3 ст. 92.1 БК РФ.</w:t>
      </w:r>
      <w:r w:rsidR="0090554B" w:rsidRPr="002F2D48">
        <w:rPr>
          <w:sz w:val="26"/>
          <w:szCs w:val="26"/>
        </w:rPr>
        <w:t xml:space="preserve"> </w:t>
      </w:r>
    </w:p>
    <w:p w:rsidR="0021238E" w:rsidRPr="002F2D48" w:rsidRDefault="00C33CA1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результате внесенных изменений в</w:t>
      </w:r>
      <w:r w:rsidR="0094363D" w:rsidRPr="002F2D48">
        <w:rPr>
          <w:sz w:val="26"/>
          <w:szCs w:val="26"/>
        </w:rPr>
        <w:t xml:space="preserve"> Решени</w:t>
      </w:r>
      <w:r w:rsidRPr="002F2D48">
        <w:rPr>
          <w:sz w:val="26"/>
          <w:szCs w:val="26"/>
        </w:rPr>
        <w:t>е</w:t>
      </w:r>
      <w:r w:rsidR="0094363D" w:rsidRPr="002F2D48">
        <w:rPr>
          <w:sz w:val="26"/>
          <w:szCs w:val="26"/>
        </w:rPr>
        <w:t xml:space="preserve"> о бюджете </w:t>
      </w:r>
      <w:r w:rsidR="00303F22" w:rsidRPr="002F2D48">
        <w:rPr>
          <w:sz w:val="26"/>
          <w:szCs w:val="26"/>
        </w:rPr>
        <w:t xml:space="preserve">городской </w:t>
      </w:r>
      <w:r w:rsidR="0021238E" w:rsidRPr="002F2D48">
        <w:rPr>
          <w:sz w:val="26"/>
          <w:szCs w:val="26"/>
        </w:rPr>
        <w:t xml:space="preserve">бюджет </w:t>
      </w:r>
      <w:r w:rsidR="0016285D" w:rsidRPr="002F2D48">
        <w:rPr>
          <w:sz w:val="26"/>
          <w:szCs w:val="26"/>
        </w:rPr>
        <w:t>на 2019</w:t>
      </w:r>
      <w:r w:rsidR="00C37F9D" w:rsidRPr="002F2D48">
        <w:rPr>
          <w:sz w:val="26"/>
          <w:szCs w:val="26"/>
        </w:rPr>
        <w:t xml:space="preserve"> год </w:t>
      </w:r>
      <w:r w:rsidR="00087985" w:rsidRPr="002F2D48">
        <w:rPr>
          <w:sz w:val="26"/>
          <w:szCs w:val="26"/>
        </w:rPr>
        <w:t xml:space="preserve">был </w:t>
      </w:r>
      <w:r w:rsidR="0021238E" w:rsidRPr="002F2D48">
        <w:rPr>
          <w:sz w:val="26"/>
          <w:szCs w:val="26"/>
        </w:rPr>
        <w:t xml:space="preserve">утвержден по доходам в сумме </w:t>
      </w:r>
      <w:r w:rsidR="00C07C6E" w:rsidRPr="002F2D48">
        <w:rPr>
          <w:sz w:val="26"/>
          <w:szCs w:val="26"/>
        </w:rPr>
        <w:t>985</w:t>
      </w:r>
      <w:r w:rsidR="007A5FEF" w:rsidRPr="002F2D48">
        <w:rPr>
          <w:sz w:val="26"/>
          <w:szCs w:val="26"/>
        </w:rPr>
        <w:t> </w:t>
      </w:r>
      <w:r w:rsidR="00C07C6E" w:rsidRPr="002F2D48">
        <w:rPr>
          <w:sz w:val="26"/>
          <w:szCs w:val="26"/>
        </w:rPr>
        <w:t>605</w:t>
      </w:r>
      <w:r w:rsidR="007A5FEF" w:rsidRPr="002F2D48">
        <w:rPr>
          <w:sz w:val="26"/>
          <w:szCs w:val="26"/>
        </w:rPr>
        <w:t>,</w:t>
      </w:r>
      <w:r w:rsidR="00C07C6E" w:rsidRPr="002F2D48">
        <w:rPr>
          <w:sz w:val="26"/>
          <w:szCs w:val="26"/>
        </w:rPr>
        <w:t>5</w:t>
      </w:r>
      <w:r w:rsidR="00193565" w:rsidRPr="002F2D48">
        <w:rPr>
          <w:sz w:val="26"/>
          <w:szCs w:val="26"/>
        </w:rPr>
        <w:t>1</w:t>
      </w:r>
      <w:r w:rsidR="00327D74" w:rsidRPr="002F2D48">
        <w:rPr>
          <w:sz w:val="26"/>
          <w:szCs w:val="26"/>
        </w:rPr>
        <w:t> тыс. руб.</w:t>
      </w:r>
      <w:r w:rsidR="0021238E" w:rsidRPr="002F2D48">
        <w:rPr>
          <w:sz w:val="26"/>
          <w:szCs w:val="26"/>
        </w:rPr>
        <w:t xml:space="preserve">, по расходам </w:t>
      </w:r>
      <w:r w:rsidRPr="002F2D48">
        <w:rPr>
          <w:sz w:val="26"/>
          <w:szCs w:val="26"/>
        </w:rPr>
        <w:t>в сумме</w:t>
      </w:r>
      <w:r w:rsidR="0021238E" w:rsidRPr="002F2D48">
        <w:rPr>
          <w:sz w:val="26"/>
          <w:szCs w:val="26"/>
        </w:rPr>
        <w:t xml:space="preserve"> </w:t>
      </w:r>
      <w:r w:rsidR="00C07C6E" w:rsidRPr="002F2D48">
        <w:rPr>
          <w:sz w:val="26"/>
          <w:szCs w:val="26"/>
        </w:rPr>
        <w:t>963</w:t>
      </w:r>
      <w:r w:rsidR="007A5FEF" w:rsidRPr="002F2D48">
        <w:rPr>
          <w:sz w:val="26"/>
          <w:szCs w:val="26"/>
        </w:rPr>
        <w:t> </w:t>
      </w:r>
      <w:r w:rsidR="00C07C6E" w:rsidRPr="002F2D48">
        <w:rPr>
          <w:sz w:val="26"/>
          <w:szCs w:val="26"/>
        </w:rPr>
        <w:t>895</w:t>
      </w:r>
      <w:r w:rsidR="007A5FEF" w:rsidRPr="002F2D48">
        <w:rPr>
          <w:sz w:val="26"/>
          <w:szCs w:val="26"/>
        </w:rPr>
        <w:t>,</w:t>
      </w:r>
      <w:r w:rsidR="00C07C6E" w:rsidRPr="002F2D48">
        <w:rPr>
          <w:sz w:val="26"/>
          <w:szCs w:val="26"/>
        </w:rPr>
        <w:t>48</w:t>
      </w:r>
      <w:r w:rsidR="007A5FEF" w:rsidRPr="002F2D48">
        <w:rPr>
          <w:sz w:val="26"/>
          <w:szCs w:val="26"/>
        </w:rPr>
        <w:t> </w:t>
      </w:r>
      <w:r w:rsidR="00327D74" w:rsidRPr="002F2D48">
        <w:rPr>
          <w:sz w:val="26"/>
          <w:szCs w:val="26"/>
        </w:rPr>
        <w:t>тыс. руб.</w:t>
      </w:r>
      <w:r w:rsidR="005A4C54" w:rsidRPr="002F2D48">
        <w:rPr>
          <w:sz w:val="26"/>
          <w:szCs w:val="26"/>
        </w:rPr>
        <w:t>, с профицитом в размере</w:t>
      </w:r>
      <w:r w:rsidR="0021238E" w:rsidRPr="002F2D48">
        <w:rPr>
          <w:sz w:val="26"/>
          <w:szCs w:val="26"/>
        </w:rPr>
        <w:t xml:space="preserve"> </w:t>
      </w:r>
      <w:r w:rsidR="00B440DF">
        <w:rPr>
          <w:sz w:val="26"/>
          <w:szCs w:val="26"/>
        </w:rPr>
        <w:t>21</w:t>
      </w:r>
      <w:r w:rsidR="00C07C6E" w:rsidRPr="002F2D48">
        <w:rPr>
          <w:sz w:val="26"/>
          <w:szCs w:val="26"/>
        </w:rPr>
        <w:t xml:space="preserve"> 710,03</w:t>
      </w:r>
      <w:r w:rsidR="00730610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</w:t>
      </w:r>
      <w:r w:rsidR="0021238E" w:rsidRPr="002F2D48">
        <w:rPr>
          <w:sz w:val="26"/>
          <w:szCs w:val="26"/>
        </w:rPr>
        <w:t>.</w:t>
      </w:r>
    </w:p>
    <w:p w:rsidR="0021238E" w:rsidRPr="002F2D48" w:rsidRDefault="0021238E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Анализ соотношения утвержденных и фактически исполненных основных характеристик </w:t>
      </w:r>
      <w:r w:rsidR="00303F22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представлен в </w:t>
      </w:r>
      <w:r w:rsidR="005566E6" w:rsidRPr="002F2D48">
        <w:rPr>
          <w:sz w:val="26"/>
          <w:szCs w:val="26"/>
        </w:rPr>
        <w:t>Т</w:t>
      </w:r>
      <w:r w:rsidR="005A57CB" w:rsidRPr="002F2D48">
        <w:rPr>
          <w:sz w:val="26"/>
          <w:szCs w:val="26"/>
        </w:rPr>
        <w:t>аблице</w:t>
      </w:r>
      <w:r w:rsidR="00303F22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1. </w:t>
      </w:r>
    </w:p>
    <w:p w:rsidR="0021238E" w:rsidRPr="002F2D48" w:rsidRDefault="00303F22" w:rsidP="00EF04C3">
      <w:pPr>
        <w:tabs>
          <w:tab w:val="left" w:pos="1080"/>
          <w:tab w:val="left" w:pos="10205"/>
        </w:tabs>
        <w:ind w:right="140"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  </w:t>
      </w:r>
      <w:r w:rsidR="0021238E" w:rsidRPr="002F2D48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1985"/>
        <w:gridCol w:w="1842"/>
      </w:tblGrid>
      <w:tr w:rsidR="0021238E" w:rsidRPr="002F2D48" w:rsidTr="00C33CA1">
        <w:trPr>
          <w:trHeight w:val="213"/>
        </w:trPr>
        <w:tc>
          <w:tcPr>
            <w:tcW w:w="4361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Наименование</w:t>
            </w:r>
            <w:r w:rsidR="00303F22" w:rsidRPr="002F2D48">
              <w:rPr>
                <w:b/>
                <w:bCs/>
                <w:sz w:val="22"/>
                <w:szCs w:val="22"/>
              </w:rPr>
              <w:t xml:space="preserve"> показателей </w:t>
            </w:r>
          </w:p>
        </w:tc>
        <w:tc>
          <w:tcPr>
            <w:tcW w:w="2126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85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842" w:type="dxa"/>
          </w:tcPr>
          <w:p w:rsidR="0021238E" w:rsidRPr="002F2D48" w:rsidRDefault="0021238E" w:rsidP="00C33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Дефицит</w:t>
            </w:r>
            <w:r w:rsidR="00AF45B8" w:rsidRPr="002F2D48">
              <w:rPr>
                <w:b/>
                <w:bCs/>
                <w:sz w:val="22"/>
                <w:szCs w:val="22"/>
              </w:rPr>
              <w:t xml:space="preserve"> -/профицит +</w:t>
            </w:r>
            <w:r w:rsidR="00F67942" w:rsidRPr="002F2D4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238E" w:rsidRPr="002F2D48" w:rsidTr="00C4603E">
        <w:trPr>
          <w:trHeight w:val="319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Утверждено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="00327D74" w:rsidRPr="002F2D48">
              <w:rPr>
                <w:sz w:val="20"/>
                <w:szCs w:val="20"/>
              </w:rPr>
              <w:t>, тыс. руб.</w:t>
            </w:r>
          </w:p>
        </w:tc>
        <w:tc>
          <w:tcPr>
            <w:tcW w:w="2126" w:type="dxa"/>
          </w:tcPr>
          <w:p w:rsidR="0021238E" w:rsidRPr="002F2D48" w:rsidRDefault="00F2754E" w:rsidP="000A4BE9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804 814,69</w:t>
            </w:r>
          </w:p>
        </w:tc>
        <w:tc>
          <w:tcPr>
            <w:tcW w:w="1985" w:type="dxa"/>
          </w:tcPr>
          <w:p w:rsidR="0021238E" w:rsidRPr="002F2D48" w:rsidRDefault="00F2754E" w:rsidP="00BA1323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816 378,54    </w:t>
            </w:r>
          </w:p>
        </w:tc>
        <w:tc>
          <w:tcPr>
            <w:tcW w:w="1842" w:type="dxa"/>
          </w:tcPr>
          <w:p w:rsidR="0021238E" w:rsidRPr="002F2D48" w:rsidRDefault="00AF45B8" w:rsidP="00F2754E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F2754E" w:rsidRPr="002F2D48">
              <w:rPr>
                <w:sz w:val="20"/>
                <w:szCs w:val="20"/>
              </w:rPr>
              <w:t>11 563,85</w:t>
            </w:r>
          </w:p>
        </w:tc>
      </w:tr>
      <w:tr w:rsidR="0021238E" w:rsidRPr="002F2D48" w:rsidTr="006820DF">
        <w:trPr>
          <w:trHeight w:val="323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Утверждено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="00327D74" w:rsidRPr="002F2D48">
              <w:rPr>
                <w:sz w:val="20"/>
                <w:szCs w:val="20"/>
              </w:rPr>
              <w:t>, тыс. руб.</w:t>
            </w:r>
          </w:p>
        </w:tc>
        <w:tc>
          <w:tcPr>
            <w:tcW w:w="2126" w:type="dxa"/>
          </w:tcPr>
          <w:p w:rsidR="0021238E" w:rsidRPr="002F2D48" w:rsidRDefault="001554EA" w:rsidP="0021238E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985 605,51</w:t>
            </w:r>
          </w:p>
        </w:tc>
        <w:tc>
          <w:tcPr>
            <w:tcW w:w="1985" w:type="dxa"/>
          </w:tcPr>
          <w:p w:rsidR="0021238E" w:rsidRPr="002F2D48" w:rsidRDefault="001554EA" w:rsidP="0021238E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963 895,48</w:t>
            </w:r>
          </w:p>
        </w:tc>
        <w:tc>
          <w:tcPr>
            <w:tcW w:w="1842" w:type="dxa"/>
          </w:tcPr>
          <w:p w:rsidR="0021238E" w:rsidRPr="002F2D48" w:rsidRDefault="001554EA" w:rsidP="000F10AD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21 710,03</w:t>
            </w:r>
          </w:p>
        </w:tc>
      </w:tr>
      <w:tr w:rsidR="0021238E" w:rsidRPr="002F2D48" w:rsidTr="006820DF">
        <w:trPr>
          <w:trHeight w:val="273"/>
        </w:trPr>
        <w:tc>
          <w:tcPr>
            <w:tcW w:w="4361" w:type="dxa"/>
          </w:tcPr>
          <w:p w:rsidR="0021238E" w:rsidRPr="002F2D48" w:rsidRDefault="00327D74" w:rsidP="0021238E">
            <w:pPr>
              <w:jc w:val="both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2126" w:type="dxa"/>
          </w:tcPr>
          <w:p w:rsidR="0021238E" w:rsidRPr="002F2D48" w:rsidRDefault="001554EA" w:rsidP="0021238E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991 015,</w:t>
            </w:r>
            <w:r w:rsidR="00D64347" w:rsidRPr="002F2D48">
              <w:rPr>
                <w:b/>
                <w:bCs/>
                <w:sz w:val="20"/>
                <w:szCs w:val="20"/>
              </w:rPr>
              <w:t>1</w:t>
            </w:r>
            <w:r w:rsidRPr="002F2D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1238E" w:rsidRPr="002F2D48" w:rsidRDefault="001554EA" w:rsidP="0021238E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945 640,72</w:t>
            </w:r>
          </w:p>
        </w:tc>
        <w:tc>
          <w:tcPr>
            <w:tcW w:w="1842" w:type="dxa"/>
          </w:tcPr>
          <w:p w:rsidR="0021238E" w:rsidRPr="002F2D48" w:rsidRDefault="001554EA" w:rsidP="000F10AD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45 374,38</w:t>
            </w:r>
          </w:p>
        </w:tc>
      </w:tr>
      <w:tr w:rsidR="0021238E" w:rsidRPr="002F2D48" w:rsidTr="006820DF">
        <w:trPr>
          <w:trHeight w:val="263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="00327D74" w:rsidRPr="002F2D48">
              <w:rPr>
                <w:sz w:val="20"/>
                <w:szCs w:val="20"/>
              </w:rPr>
              <w:t xml:space="preserve"> (абс.), тыс. руб.</w:t>
            </w:r>
          </w:p>
        </w:tc>
        <w:tc>
          <w:tcPr>
            <w:tcW w:w="2126" w:type="dxa"/>
          </w:tcPr>
          <w:p w:rsidR="0021238E" w:rsidRPr="002F2D48" w:rsidRDefault="002A5159" w:rsidP="00730610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+ </w:t>
            </w:r>
            <w:r w:rsidR="001554EA" w:rsidRPr="002F2D48">
              <w:rPr>
                <w:sz w:val="20"/>
                <w:szCs w:val="20"/>
              </w:rPr>
              <w:t>186 200,41</w:t>
            </w:r>
          </w:p>
        </w:tc>
        <w:tc>
          <w:tcPr>
            <w:tcW w:w="1985" w:type="dxa"/>
          </w:tcPr>
          <w:p w:rsidR="0021238E" w:rsidRPr="002F2D48" w:rsidRDefault="002A5159" w:rsidP="002A35B4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+ </w:t>
            </w:r>
            <w:r w:rsidR="004936D5" w:rsidRPr="002F2D48">
              <w:rPr>
                <w:sz w:val="20"/>
                <w:szCs w:val="20"/>
              </w:rPr>
              <w:t>129 261,88</w:t>
            </w:r>
          </w:p>
        </w:tc>
        <w:tc>
          <w:tcPr>
            <w:tcW w:w="1842" w:type="dxa"/>
          </w:tcPr>
          <w:p w:rsidR="0021238E" w:rsidRPr="002F2D48" w:rsidRDefault="00C33CA1" w:rsidP="007936B0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+ </w:t>
            </w:r>
            <w:r w:rsidR="004F1AB9" w:rsidRPr="002F2D48">
              <w:rPr>
                <w:sz w:val="20"/>
                <w:szCs w:val="20"/>
              </w:rPr>
              <w:t>56 938,23</w:t>
            </w:r>
          </w:p>
        </w:tc>
      </w:tr>
      <w:tr w:rsidR="0021238E" w:rsidRPr="002F2D48" w:rsidTr="006820DF">
        <w:trPr>
          <w:trHeight w:val="266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="00327D74" w:rsidRPr="002F2D48">
              <w:rPr>
                <w:sz w:val="20"/>
                <w:szCs w:val="20"/>
              </w:rPr>
              <w:t xml:space="preserve"> (абс.), тыс. руб.</w:t>
            </w:r>
          </w:p>
        </w:tc>
        <w:tc>
          <w:tcPr>
            <w:tcW w:w="2126" w:type="dxa"/>
          </w:tcPr>
          <w:p w:rsidR="0021238E" w:rsidRPr="002F2D48" w:rsidRDefault="001554EA" w:rsidP="0094363D">
            <w:pPr>
              <w:jc w:val="center"/>
              <w:rPr>
                <w:sz w:val="20"/>
                <w:szCs w:val="20"/>
                <w:highlight w:val="yellow"/>
              </w:rPr>
            </w:pPr>
            <w:r w:rsidRPr="002F2D48">
              <w:rPr>
                <w:sz w:val="20"/>
                <w:szCs w:val="20"/>
              </w:rPr>
              <w:t>+ 5 409,59</w:t>
            </w:r>
          </w:p>
        </w:tc>
        <w:tc>
          <w:tcPr>
            <w:tcW w:w="1985" w:type="dxa"/>
          </w:tcPr>
          <w:p w:rsidR="0021238E" w:rsidRPr="002F2D48" w:rsidRDefault="002A5159" w:rsidP="002A35B4">
            <w:pPr>
              <w:jc w:val="center"/>
              <w:rPr>
                <w:sz w:val="20"/>
                <w:szCs w:val="20"/>
                <w:highlight w:val="yellow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4936D5" w:rsidRPr="002F2D48">
              <w:rPr>
                <w:sz w:val="20"/>
                <w:szCs w:val="20"/>
              </w:rPr>
              <w:t>18 254,76</w:t>
            </w:r>
          </w:p>
        </w:tc>
        <w:tc>
          <w:tcPr>
            <w:tcW w:w="1842" w:type="dxa"/>
          </w:tcPr>
          <w:p w:rsidR="0021238E" w:rsidRPr="002F2D48" w:rsidRDefault="004F1AB9" w:rsidP="007936B0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+ 23 664,35</w:t>
            </w:r>
          </w:p>
        </w:tc>
      </w:tr>
      <w:tr w:rsidR="0021238E" w:rsidRPr="002F2D48" w:rsidTr="006820DF">
        <w:trPr>
          <w:trHeight w:val="271"/>
        </w:trPr>
        <w:tc>
          <w:tcPr>
            <w:tcW w:w="4361" w:type="dxa"/>
          </w:tcPr>
          <w:p w:rsidR="0021238E" w:rsidRPr="002F2D48" w:rsidRDefault="0021238E" w:rsidP="00D75B2B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Pr="002F2D48">
              <w:rPr>
                <w:sz w:val="20"/>
                <w:szCs w:val="20"/>
              </w:rPr>
              <w:t xml:space="preserve"> (отн.), в %</w:t>
            </w:r>
          </w:p>
        </w:tc>
        <w:tc>
          <w:tcPr>
            <w:tcW w:w="2126" w:type="dxa"/>
          </w:tcPr>
          <w:p w:rsidR="0021238E" w:rsidRPr="002F2D48" w:rsidRDefault="002A5159" w:rsidP="00D64347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+ </w:t>
            </w:r>
            <w:r w:rsidR="00D64347" w:rsidRPr="002F2D48">
              <w:rPr>
                <w:sz w:val="20"/>
                <w:szCs w:val="20"/>
              </w:rPr>
              <w:t>23</w:t>
            </w:r>
            <w:r w:rsidR="001554EA" w:rsidRPr="002F2D48">
              <w:rPr>
                <w:sz w:val="20"/>
                <w:szCs w:val="20"/>
              </w:rPr>
              <w:t>,14</w:t>
            </w:r>
          </w:p>
        </w:tc>
        <w:tc>
          <w:tcPr>
            <w:tcW w:w="1985" w:type="dxa"/>
          </w:tcPr>
          <w:p w:rsidR="0021238E" w:rsidRPr="002F2D48" w:rsidRDefault="002A5159" w:rsidP="002A35B4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+ </w:t>
            </w:r>
            <w:r w:rsidR="004936D5" w:rsidRPr="002F2D48">
              <w:rPr>
                <w:sz w:val="20"/>
                <w:szCs w:val="20"/>
              </w:rPr>
              <w:t>15,83</w:t>
            </w:r>
          </w:p>
        </w:tc>
        <w:tc>
          <w:tcPr>
            <w:tcW w:w="1842" w:type="dxa"/>
          </w:tcPr>
          <w:p w:rsidR="0021238E" w:rsidRPr="002F2D48" w:rsidRDefault="007C6D99" w:rsidP="007936B0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х</w:t>
            </w:r>
          </w:p>
        </w:tc>
      </w:tr>
      <w:tr w:rsidR="0021238E" w:rsidRPr="002F2D48" w:rsidTr="006820DF">
        <w:trPr>
          <w:trHeight w:val="260"/>
        </w:trPr>
        <w:tc>
          <w:tcPr>
            <w:tcW w:w="4361" w:type="dxa"/>
          </w:tcPr>
          <w:p w:rsidR="0021238E" w:rsidRPr="002F2D48" w:rsidRDefault="0021238E" w:rsidP="00D75B2B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Pr="002F2D48">
              <w:rPr>
                <w:sz w:val="20"/>
                <w:szCs w:val="20"/>
              </w:rPr>
              <w:t xml:space="preserve"> (отн.), в %</w:t>
            </w:r>
          </w:p>
        </w:tc>
        <w:tc>
          <w:tcPr>
            <w:tcW w:w="2126" w:type="dxa"/>
          </w:tcPr>
          <w:p w:rsidR="0021238E" w:rsidRPr="002F2D48" w:rsidRDefault="001554EA" w:rsidP="0029489C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+ 0,55</w:t>
            </w:r>
          </w:p>
        </w:tc>
        <w:tc>
          <w:tcPr>
            <w:tcW w:w="1985" w:type="dxa"/>
          </w:tcPr>
          <w:p w:rsidR="0021238E" w:rsidRPr="002F2D48" w:rsidRDefault="002A5159" w:rsidP="002A35B4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4936D5" w:rsidRPr="002F2D48">
              <w:rPr>
                <w:sz w:val="20"/>
                <w:szCs w:val="20"/>
              </w:rPr>
              <w:t>1,89</w:t>
            </w:r>
          </w:p>
        </w:tc>
        <w:tc>
          <w:tcPr>
            <w:tcW w:w="1842" w:type="dxa"/>
          </w:tcPr>
          <w:p w:rsidR="0021238E" w:rsidRPr="002F2D48" w:rsidRDefault="004F1AB9" w:rsidP="000F10AD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х</w:t>
            </w:r>
          </w:p>
        </w:tc>
      </w:tr>
    </w:tbl>
    <w:p w:rsidR="00AF683B" w:rsidRPr="002F2D48" w:rsidRDefault="0021238E" w:rsidP="006820DF">
      <w:pPr>
        <w:ind w:firstLine="709"/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>1</w:t>
      </w:r>
      <w:r w:rsidRPr="002F2D48">
        <w:rPr>
          <w:sz w:val="20"/>
          <w:szCs w:val="20"/>
        </w:rPr>
        <w:t xml:space="preserve"> – в </w:t>
      </w:r>
      <w:r w:rsidR="002A35B4" w:rsidRPr="002F2D48">
        <w:rPr>
          <w:sz w:val="20"/>
          <w:szCs w:val="20"/>
        </w:rPr>
        <w:t xml:space="preserve">первоначальной </w:t>
      </w:r>
      <w:r w:rsidRPr="002F2D48">
        <w:rPr>
          <w:sz w:val="20"/>
          <w:szCs w:val="20"/>
        </w:rPr>
        <w:t>редакции решения</w:t>
      </w:r>
      <w:r w:rsidR="002A35B4" w:rsidRPr="002F2D48">
        <w:rPr>
          <w:sz w:val="20"/>
          <w:szCs w:val="20"/>
        </w:rPr>
        <w:t xml:space="preserve"> о</w:t>
      </w:r>
      <w:r w:rsidR="00FF02B3" w:rsidRPr="002F2D48">
        <w:rPr>
          <w:sz w:val="20"/>
          <w:szCs w:val="20"/>
        </w:rPr>
        <w:t xml:space="preserve"> </w:t>
      </w:r>
      <w:r w:rsidR="00D64347" w:rsidRPr="002F2D48">
        <w:rPr>
          <w:sz w:val="20"/>
          <w:szCs w:val="20"/>
        </w:rPr>
        <w:t>городском</w:t>
      </w:r>
      <w:r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 xml:space="preserve">бюджете </w:t>
      </w:r>
      <w:r w:rsidRPr="002F2D48">
        <w:rPr>
          <w:sz w:val="20"/>
          <w:szCs w:val="20"/>
        </w:rPr>
        <w:t>на 201</w:t>
      </w:r>
      <w:r w:rsidR="00F2754E" w:rsidRPr="002F2D48">
        <w:rPr>
          <w:sz w:val="20"/>
          <w:szCs w:val="20"/>
        </w:rPr>
        <w:t>9</w:t>
      </w:r>
      <w:r w:rsidRPr="002F2D48">
        <w:rPr>
          <w:sz w:val="20"/>
          <w:szCs w:val="20"/>
        </w:rPr>
        <w:t xml:space="preserve"> год</w:t>
      </w:r>
      <w:r w:rsidR="002A1807" w:rsidRPr="002F2D48">
        <w:rPr>
          <w:sz w:val="20"/>
          <w:szCs w:val="20"/>
        </w:rPr>
        <w:t>;</w:t>
      </w:r>
    </w:p>
    <w:p w:rsidR="00054FA3" w:rsidRPr="002F2D48" w:rsidRDefault="0021238E" w:rsidP="006820DF">
      <w:pPr>
        <w:ind w:firstLine="709"/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 xml:space="preserve">2 </w:t>
      </w:r>
      <w:r w:rsidRPr="002F2D48">
        <w:rPr>
          <w:sz w:val="20"/>
          <w:szCs w:val="20"/>
        </w:rPr>
        <w:t xml:space="preserve">– </w:t>
      </w:r>
      <w:r w:rsidR="00D75B2B" w:rsidRPr="002F2D48">
        <w:rPr>
          <w:sz w:val="20"/>
          <w:szCs w:val="20"/>
        </w:rPr>
        <w:t xml:space="preserve">в </w:t>
      </w:r>
      <w:r w:rsidR="001551F1" w:rsidRPr="002F2D48">
        <w:rPr>
          <w:sz w:val="20"/>
          <w:szCs w:val="20"/>
        </w:rPr>
        <w:t>результате внесенных изменений в городской бюджет</w:t>
      </w:r>
      <w:r w:rsidR="00D75B2B" w:rsidRPr="002F2D48">
        <w:rPr>
          <w:sz w:val="20"/>
          <w:szCs w:val="20"/>
        </w:rPr>
        <w:t xml:space="preserve"> на 20</w:t>
      </w:r>
      <w:r w:rsidR="00A93922" w:rsidRPr="002F2D48">
        <w:rPr>
          <w:sz w:val="20"/>
          <w:szCs w:val="20"/>
        </w:rPr>
        <w:t>1</w:t>
      </w:r>
      <w:r w:rsidR="00F2754E" w:rsidRPr="002F2D48">
        <w:rPr>
          <w:sz w:val="20"/>
          <w:szCs w:val="20"/>
        </w:rPr>
        <w:t>9</w:t>
      </w:r>
      <w:r w:rsidR="00F20335"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>год</w:t>
      </w:r>
      <w:r w:rsidR="00AF683B" w:rsidRPr="002F2D48">
        <w:rPr>
          <w:sz w:val="20"/>
          <w:szCs w:val="20"/>
        </w:rPr>
        <w:t>.</w:t>
      </w:r>
    </w:p>
    <w:p w:rsidR="005566E6" w:rsidRPr="002F2D48" w:rsidRDefault="005566E6" w:rsidP="00A86D8D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C71D9F" w:rsidRPr="002F2D48" w:rsidRDefault="0021238E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По сравнению с показателям</w:t>
      </w:r>
      <w:r w:rsidR="00327D74" w:rsidRPr="002F2D48">
        <w:rPr>
          <w:sz w:val="26"/>
          <w:szCs w:val="26"/>
        </w:rPr>
        <w:t>и, первоначально утвержденными Р</w:t>
      </w:r>
      <w:r w:rsidRPr="002F2D48">
        <w:rPr>
          <w:sz w:val="26"/>
          <w:szCs w:val="26"/>
        </w:rPr>
        <w:t>ешением о бюджете на 201</w:t>
      </w:r>
      <w:r w:rsidR="001554EA" w:rsidRPr="002F2D48">
        <w:rPr>
          <w:sz w:val="26"/>
          <w:szCs w:val="26"/>
        </w:rPr>
        <w:t>9</w:t>
      </w:r>
      <w:r w:rsidRPr="002F2D48">
        <w:rPr>
          <w:sz w:val="26"/>
          <w:szCs w:val="26"/>
        </w:rPr>
        <w:t xml:space="preserve"> год, фактическое исполнение по доходам </w:t>
      </w:r>
      <w:r w:rsidR="00145D09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</w:t>
      </w:r>
      <w:r w:rsidR="0087069D" w:rsidRPr="002F2D48">
        <w:rPr>
          <w:sz w:val="26"/>
          <w:szCs w:val="26"/>
        </w:rPr>
        <w:t xml:space="preserve">увеличилось </w:t>
      </w:r>
      <w:r w:rsidRPr="002F2D48">
        <w:rPr>
          <w:sz w:val="26"/>
          <w:szCs w:val="26"/>
        </w:rPr>
        <w:t xml:space="preserve">на </w:t>
      </w:r>
      <w:r w:rsidR="004F1AB9" w:rsidRPr="002F2D48">
        <w:rPr>
          <w:sz w:val="26"/>
          <w:szCs w:val="26"/>
        </w:rPr>
        <w:t>186 200,41</w:t>
      </w:r>
      <w:r w:rsidR="007936B0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</w:t>
      </w:r>
      <w:r w:rsidR="00E5653B" w:rsidRPr="002F2D48">
        <w:rPr>
          <w:sz w:val="26"/>
          <w:szCs w:val="26"/>
        </w:rPr>
        <w:t xml:space="preserve">на </w:t>
      </w:r>
      <w:r w:rsidR="006713A4" w:rsidRPr="002F2D48">
        <w:rPr>
          <w:sz w:val="26"/>
          <w:szCs w:val="26"/>
        </w:rPr>
        <w:t>23</w:t>
      </w:r>
      <w:r w:rsidR="004F1AB9" w:rsidRPr="002F2D48">
        <w:rPr>
          <w:sz w:val="26"/>
          <w:szCs w:val="26"/>
        </w:rPr>
        <w:t>,14</w:t>
      </w:r>
      <w:r w:rsidRPr="002F2D48">
        <w:rPr>
          <w:sz w:val="26"/>
          <w:szCs w:val="26"/>
        </w:rPr>
        <w:t> </w:t>
      </w:r>
      <w:r w:rsidR="00F94449" w:rsidRPr="002F2D48">
        <w:rPr>
          <w:sz w:val="26"/>
          <w:szCs w:val="26"/>
        </w:rPr>
        <w:t>%</w:t>
      </w:r>
      <w:r w:rsidRPr="002F2D48">
        <w:rPr>
          <w:sz w:val="26"/>
          <w:szCs w:val="26"/>
        </w:rPr>
        <w:t xml:space="preserve">, по расходам на </w:t>
      </w:r>
      <w:r w:rsidR="004F1AB9" w:rsidRPr="002F2D48">
        <w:rPr>
          <w:sz w:val="26"/>
          <w:szCs w:val="26"/>
        </w:rPr>
        <w:t>129 261,88</w:t>
      </w:r>
      <w:r w:rsidR="0029489C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на </w:t>
      </w:r>
      <w:r w:rsidR="004F1AB9" w:rsidRPr="002F2D48">
        <w:rPr>
          <w:sz w:val="26"/>
          <w:szCs w:val="26"/>
        </w:rPr>
        <w:t>15,83</w:t>
      </w:r>
      <w:r w:rsidR="007936B0" w:rsidRPr="002F2D48">
        <w:rPr>
          <w:sz w:val="26"/>
          <w:szCs w:val="26"/>
        </w:rPr>
        <w:t xml:space="preserve"> </w:t>
      </w:r>
      <w:r w:rsidR="00F94449" w:rsidRPr="002F2D48">
        <w:rPr>
          <w:sz w:val="26"/>
          <w:szCs w:val="26"/>
        </w:rPr>
        <w:t>%</w:t>
      </w:r>
      <w:r w:rsidR="003727D1" w:rsidRPr="002F2D48">
        <w:rPr>
          <w:sz w:val="26"/>
          <w:szCs w:val="26"/>
        </w:rPr>
        <w:t>,</w:t>
      </w:r>
      <w:r w:rsidR="004F1AB9" w:rsidRPr="002F2D48">
        <w:rPr>
          <w:sz w:val="26"/>
          <w:szCs w:val="26"/>
        </w:rPr>
        <w:t xml:space="preserve"> профицит составил 45 374,38</w:t>
      </w:r>
      <w:r w:rsidR="007D64D7" w:rsidRPr="002F2D48">
        <w:rPr>
          <w:sz w:val="26"/>
          <w:szCs w:val="26"/>
        </w:rPr>
        <w:t xml:space="preserve"> тыс. руб. </w:t>
      </w:r>
    </w:p>
    <w:p w:rsidR="00EF04C3" w:rsidRPr="002F2D48" w:rsidRDefault="00327D74" w:rsidP="002177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Внесен</w:t>
      </w:r>
      <w:r w:rsidR="003727D1" w:rsidRPr="002F2D48">
        <w:rPr>
          <w:sz w:val="26"/>
          <w:szCs w:val="26"/>
        </w:rPr>
        <w:t>ные</w:t>
      </w:r>
      <w:r w:rsidRPr="002F2D48">
        <w:rPr>
          <w:sz w:val="26"/>
          <w:szCs w:val="26"/>
        </w:rPr>
        <w:t xml:space="preserve"> изменени</w:t>
      </w:r>
      <w:r w:rsidR="003727D1" w:rsidRPr="002F2D48">
        <w:rPr>
          <w:sz w:val="26"/>
          <w:szCs w:val="26"/>
        </w:rPr>
        <w:t>я</w:t>
      </w:r>
      <w:r w:rsidR="007936B0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в Р</w:t>
      </w:r>
      <w:r w:rsidR="0021238E" w:rsidRPr="002F2D48">
        <w:rPr>
          <w:sz w:val="26"/>
          <w:szCs w:val="26"/>
        </w:rPr>
        <w:t>ешение о бюджете на 201</w:t>
      </w:r>
      <w:r w:rsidR="004F1AB9" w:rsidRPr="002F2D48">
        <w:rPr>
          <w:sz w:val="26"/>
          <w:szCs w:val="26"/>
        </w:rPr>
        <w:t>9</w:t>
      </w:r>
      <w:r w:rsidR="0021238E" w:rsidRPr="002F2D48">
        <w:rPr>
          <w:sz w:val="26"/>
          <w:szCs w:val="26"/>
        </w:rPr>
        <w:t xml:space="preserve"> год </w:t>
      </w:r>
      <w:r w:rsidR="006E27B4" w:rsidRPr="002F2D48">
        <w:rPr>
          <w:sz w:val="26"/>
          <w:szCs w:val="26"/>
        </w:rPr>
        <w:t xml:space="preserve">касались изменений основных характеристик </w:t>
      </w:r>
      <w:r w:rsidR="00C37F9D" w:rsidRPr="002F2D48">
        <w:rPr>
          <w:sz w:val="26"/>
          <w:szCs w:val="26"/>
        </w:rPr>
        <w:t xml:space="preserve">городского </w:t>
      </w:r>
      <w:r w:rsidR="006E27B4" w:rsidRPr="002F2D48">
        <w:rPr>
          <w:sz w:val="26"/>
          <w:szCs w:val="26"/>
        </w:rPr>
        <w:t xml:space="preserve">бюджета и </w:t>
      </w:r>
      <w:r w:rsidR="0021238E" w:rsidRPr="002F2D48">
        <w:rPr>
          <w:sz w:val="26"/>
          <w:szCs w:val="26"/>
        </w:rPr>
        <w:t>обусловлен</w:t>
      </w:r>
      <w:r w:rsidR="006E27B4" w:rsidRPr="002F2D48">
        <w:rPr>
          <w:sz w:val="26"/>
          <w:szCs w:val="26"/>
        </w:rPr>
        <w:t>ы</w:t>
      </w:r>
      <w:r w:rsidR="0021238E" w:rsidRPr="002F2D48">
        <w:rPr>
          <w:sz w:val="26"/>
          <w:szCs w:val="26"/>
        </w:rPr>
        <w:t xml:space="preserve"> </w:t>
      </w:r>
      <w:r w:rsidR="00F161FC" w:rsidRPr="002F2D48">
        <w:rPr>
          <w:sz w:val="26"/>
          <w:szCs w:val="26"/>
        </w:rPr>
        <w:t xml:space="preserve">в основном </w:t>
      </w:r>
      <w:r w:rsidR="0021238E" w:rsidRPr="002F2D48">
        <w:rPr>
          <w:sz w:val="26"/>
          <w:szCs w:val="26"/>
        </w:rPr>
        <w:t xml:space="preserve">необходимостью </w:t>
      </w:r>
      <w:r w:rsidR="00B13B41" w:rsidRPr="002F2D48">
        <w:rPr>
          <w:sz w:val="26"/>
          <w:szCs w:val="26"/>
        </w:rPr>
        <w:t xml:space="preserve">корректировки </w:t>
      </w:r>
      <w:r w:rsidR="009C746A" w:rsidRPr="002F2D48">
        <w:rPr>
          <w:sz w:val="26"/>
          <w:szCs w:val="26"/>
        </w:rPr>
        <w:t xml:space="preserve">объема </w:t>
      </w:r>
      <w:r w:rsidR="00B13B41" w:rsidRPr="002F2D48">
        <w:rPr>
          <w:sz w:val="26"/>
          <w:szCs w:val="26"/>
        </w:rPr>
        <w:t>бюджетных средств</w:t>
      </w:r>
      <w:r w:rsidR="0021238E" w:rsidRPr="002F2D48">
        <w:rPr>
          <w:sz w:val="26"/>
          <w:szCs w:val="26"/>
        </w:rPr>
        <w:t xml:space="preserve">, </w:t>
      </w:r>
      <w:r w:rsidR="005359C6" w:rsidRPr="002F2D48">
        <w:rPr>
          <w:sz w:val="26"/>
          <w:szCs w:val="26"/>
        </w:rPr>
        <w:t xml:space="preserve">поступающих </w:t>
      </w:r>
      <w:r w:rsidR="0021238E" w:rsidRPr="002F2D48">
        <w:rPr>
          <w:sz w:val="26"/>
          <w:szCs w:val="26"/>
        </w:rPr>
        <w:t>от бюджетов других уровней</w:t>
      </w:r>
      <w:r w:rsidR="006E27B4" w:rsidRPr="002F2D48">
        <w:rPr>
          <w:sz w:val="26"/>
          <w:szCs w:val="26"/>
        </w:rPr>
        <w:t xml:space="preserve"> в связи с увеличением безвозмездных поступлений</w:t>
      </w:r>
      <w:r w:rsidR="004F79EC" w:rsidRPr="002F2D48">
        <w:rPr>
          <w:sz w:val="26"/>
          <w:szCs w:val="26"/>
        </w:rPr>
        <w:t xml:space="preserve"> в виде межбюджетных трансфертов, </w:t>
      </w:r>
      <w:r w:rsidR="00E5653B" w:rsidRPr="002F2D48">
        <w:rPr>
          <w:sz w:val="26"/>
          <w:szCs w:val="26"/>
        </w:rPr>
        <w:t>а также корректировкой</w:t>
      </w:r>
      <w:r w:rsidR="00EF04C3" w:rsidRPr="002F2D48">
        <w:rPr>
          <w:sz w:val="26"/>
          <w:szCs w:val="26"/>
        </w:rPr>
        <w:t xml:space="preserve"> </w:t>
      </w:r>
      <w:r w:rsidR="0016058B" w:rsidRPr="002F2D48">
        <w:rPr>
          <w:sz w:val="26"/>
          <w:szCs w:val="26"/>
        </w:rPr>
        <w:t>бюджетных ассигнований</w:t>
      </w:r>
      <w:r w:rsidR="005359C6" w:rsidRPr="002F2D48">
        <w:rPr>
          <w:sz w:val="26"/>
          <w:szCs w:val="26"/>
        </w:rPr>
        <w:t>,</w:t>
      </w:r>
      <w:r w:rsidR="0016058B" w:rsidRPr="002F2D48">
        <w:rPr>
          <w:sz w:val="26"/>
          <w:szCs w:val="26"/>
        </w:rPr>
        <w:t xml:space="preserve"> </w:t>
      </w:r>
      <w:r w:rsidR="00EF04C3" w:rsidRPr="002F2D48">
        <w:rPr>
          <w:sz w:val="26"/>
          <w:szCs w:val="26"/>
        </w:rPr>
        <w:t>перераспределен</w:t>
      </w:r>
      <w:r w:rsidR="0016058B" w:rsidRPr="002F2D48">
        <w:rPr>
          <w:sz w:val="26"/>
          <w:szCs w:val="26"/>
        </w:rPr>
        <w:t>ных</w:t>
      </w:r>
      <w:r w:rsidR="00EF04C3" w:rsidRPr="002F2D48">
        <w:rPr>
          <w:sz w:val="26"/>
          <w:szCs w:val="26"/>
        </w:rPr>
        <w:t xml:space="preserve"> между главными распорядителями, получателями средств городского бюджета, </w:t>
      </w:r>
      <w:r w:rsidR="00D52817" w:rsidRPr="002F2D48">
        <w:rPr>
          <w:sz w:val="26"/>
          <w:szCs w:val="26"/>
        </w:rPr>
        <w:t xml:space="preserve">а также </w:t>
      </w:r>
      <w:r w:rsidR="00EF04C3" w:rsidRPr="002F2D48">
        <w:rPr>
          <w:sz w:val="26"/>
          <w:szCs w:val="26"/>
        </w:rPr>
        <w:t>между разделами, видами расходов и целевыми статьями классификации.</w:t>
      </w:r>
    </w:p>
    <w:p w:rsidR="00BD3568" w:rsidRPr="002F2D48" w:rsidRDefault="00BD3568" w:rsidP="002177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C1F" w:rsidRPr="002F2D48" w:rsidRDefault="00321A00" w:rsidP="006D3FC0">
      <w:pPr>
        <w:jc w:val="center"/>
        <w:rPr>
          <w:b/>
          <w:bCs/>
          <w:sz w:val="26"/>
          <w:szCs w:val="26"/>
          <w:highlight w:val="yellow"/>
        </w:rPr>
      </w:pPr>
      <w:r w:rsidRPr="002F2D48">
        <w:rPr>
          <w:b/>
          <w:bCs/>
          <w:sz w:val="26"/>
          <w:szCs w:val="26"/>
        </w:rPr>
        <w:t>2</w:t>
      </w:r>
      <w:r w:rsidR="00F04C1F" w:rsidRPr="002F2D48">
        <w:rPr>
          <w:b/>
          <w:bCs/>
          <w:sz w:val="26"/>
          <w:szCs w:val="26"/>
        </w:rPr>
        <w:t>. Исполнение городского бюджета по доходам</w:t>
      </w:r>
    </w:p>
    <w:p w:rsidR="009A29E8" w:rsidRPr="002F2D48" w:rsidRDefault="009A29E8" w:rsidP="006D3FC0">
      <w:pPr>
        <w:ind w:firstLine="720"/>
        <w:jc w:val="both"/>
        <w:rPr>
          <w:sz w:val="16"/>
          <w:szCs w:val="16"/>
          <w:highlight w:val="yellow"/>
        </w:rPr>
      </w:pPr>
    </w:p>
    <w:p w:rsidR="0082626D" w:rsidRPr="002F2D48" w:rsidRDefault="002E1A78" w:rsidP="00C6323F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2.1. </w:t>
      </w:r>
      <w:r w:rsidR="00FD2C7C" w:rsidRPr="002F2D48">
        <w:rPr>
          <w:sz w:val="26"/>
          <w:szCs w:val="26"/>
        </w:rPr>
        <w:t>Прогнозные назначения</w:t>
      </w:r>
      <w:r w:rsidR="003727D1" w:rsidRPr="002F2D48">
        <w:rPr>
          <w:sz w:val="26"/>
          <w:szCs w:val="26"/>
        </w:rPr>
        <w:t xml:space="preserve"> по</w:t>
      </w:r>
      <w:r w:rsidR="00624F20" w:rsidRPr="002F2D48">
        <w:rPr>
          <w:sz w:val="26"/>
          <w:szCs w:val="26"/>
        </w:rPr>
        <w:t xml:space="preserve"> доход</w:t>
      </w:r>
      <w:r w:rsidR="003727D1" w:rsidRPr="002F2D48">
        <w:rPr>
          <w:sz w:val="26"/>
          <w:szCs w:val="26"/>
        </w:rPr>
        <w:t>ам</w:t>
      </w:r>
      <w:r w:rsidR="00624F20" w:rsidRPr="002F2D48">
        <w:rPr>
          <w:sz w:val="26"/>
          <w:szCs w:val="26"/>
        </w:rPr>
        <w:t xml:space="preserve"> городского бюджета </w:t>
      </w:r>
      <w:r w:rsidR="00140E50" w:rsidRPr="002F2D48">
        <w:rPr>
          <w:sz w:val="26"/>
          <w:szCs w:val="26"/>
        </w:rPr>
        <w:t>на 201</w:t>
      </w:r>
      <w:r w:rsidR="00193565" w:rsidRPr="002F2D48">
        <w:rPr>
          <w:sz w:val="26"/>
          <w:szCs w:val="26"/>
        </w:rPr>
        <w:t>9</w:t>
      </w:r>
      <w:r w:rsidR="00140E50" w:rsidRPr="002F2D48">
        <w:rPr>
          <w:sz w:val="26"/>
          <w:szCs w:val="26"/>
        </w:rPr>
        <w:t xml:space="preserve"> год с учетом внесенных </w:t>
      </w:r>
      <w:r w:rsidR="003727D1" w:rsidRPr="002F2D48">
        <w:rPr>
          <w:sz w:val="26"/>
          <w:szCs w:val="26"/>
        </w:rPr>
        <w:t>изменений</w:t>
      </w:r>
      <w:r w:rsidR="00140E50" w:rsidRPr="002F2D48">
        <w:rPr>
          <w:sz w:val="26"/>
          <w:szCs w:val="26"/>
        </w:rPr>
        <w:t xml:space="preserve"> </w:t>
      </w:r>
      <w:r w:rsidR="00624F20" w:rsidRPr="002F2D48">
        <w:rPr>
          <w:sz w:val="26"/>
          <w:szCs w:val="26"/>
        </w:rPr>
        <w:t>состав</w:t>
      </w:r>
      <w:r w:rsidR="00A84AA1" w:rsidRPr="002F2D48">
        <w:rPr>
          <w:sz w:val="26"/>
          <w:szCs w:val="26"/>
        </w:rPr>
        <w:t>или</w:t>
      </w:r>
      <w:r w:rsidR="00624F20" w:rsidRPr="002F2D48">
        <w:rPr>
          <w:sz w:val="26"/>
          <w:szCs w:val="26"/>
        </w:rPr>
        <w:t xml:space="preserve"> </w:t>
      </w:r>
      <w:r w:rsidR="00193565" w:rsidRPr="002F2D48">
        <w:rPr>
          <w:sz w:val="26"/>
          <w:szCs w:val="26"/>
        </w:rPr>
        <w:t>985 605,51</w:t>
      </w:r>
      <w:r w:rsidR="00624F20" w:rsidRPr="002F2D48">
        <w:rPr>
          <w:sz w:val="26"/>
          <w:szCs w:val="26"/>
        </w:rPr>
        <w:t xml:space="preserve"> тыс. руб., в том числе: </w:t>
      </w:r>
    </w:p>
    <w:p w:rsidR="0082626D" w:rsidRPr="002F2D48" w:rsidRDefault="00CC5AAC" w:rsidP="00C6323F">
      <w:pPr>
        <w:spacing w:line="276" w:lineRule="auto"/>
        <w:ind w:left="36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     - </w:t>
      </w:r>
      <w:r w:rsidR="0082626D" w:rsidRPr="002F2D48">
        <w:rPr>
          <w:sz w:val="26"/>
          <w:szCs w:val="26"/>
        </w:rPr>
        <w:t xml:space="preserve">налоговые доходы – </w:t>
      </w:r>
      <w:r w:rsidR="00193565" w:rsidRPr="002F2D48">
        <w:rPr>
          <w:sz w:val="26"/>
          <w:szCs w:val="26"/>
        </w:rPr>
        <w:t>281 891,92</w:t>
      </w:r>
      <w:r w:rsidR="004A41EC" w:rsidRPr="002F2D4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C6323F">
      <w:pPr>
        <w:spacing w:line="276" w:lineRule="auto"/>
        <w:ind w:left="36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     - </w:t>
      </w:r>
      <w:r w:rsidR="0082626D" w:rsidRPr="002F2D48">
        <w:rPr>
          <w:sz w:val="26"/>
          <w:szCs w:val="26"/>
        </w:rPr>
        <w:t xml:space="preserve">неналоговые доходы – </w:t>
      </w:r>
      <w:r w:rsidR="00193565" w:rsidRPr="002F2D48">
        <w:rPr>
          <w:sz w:val="26"/>
          <w:szCs w:val="26"/>
        </w:rPr>
        <w:t>88 130,77</w:t>
      </w:r>
      <w:r w:rsidR="0082626D" w:rsidRPr="002F2D48">
        <w:rPr>
          <w:sz w:val="26"/>
          <w:szCs w:val="26"/>
        </w:rPr>
        <w:t> 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C6323F">
      <w:pPr>
        <w:spacing w:line="276" w:lineRule="auto"/>
        <w:ind w:left="36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     - </w:t>
      </w:r>
      <w:r w:rsidR="0082626D" w:rsidRPr="002F2D48">
        <w:rPr>
          <w:sz w:val="26"/>
          <w:szCs w:val="26"/>
        </w:rPr>
        <w:t xml:space="preserve">безвозмездные перечисления – </w:t>
      </w:r>
      <w:r w:rsidR="00193565" w:rsidRPr="002F2D48">
        <w:rPr>
          <w:sz w:val="26"/>
          <w:szCs w:val="26"/>
        </w:rPr>
        <w:t>615 582,82</w:t>
      </w:r>
      <w:r w:rsidR="00E25CFB" w:rsidRPr="002F2D4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</w:p>
    <w:p w:rsidR="0082626D" w:rsidRPr="002F2D48" w:rsidRDefault="003727D1" w:rsidP="00CB20A3">
      <w:pPr>
        <w:spacing w:line="276" w:lineRule="auto"/>
        <w:ind w:firstLine="720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Фактическое</w:t>
      </w:r>
      <w:r w:rsidR="0082626D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исполнение городского бюджета за 201</w:t>
      </w:r>
      <w:r w:rsidR="00023F08" w:rsidRPr="002F2D48">
        <w:rPr>
          <w:sz w:val="26"/>
          <w:szCs w:val="26"/>
        </w:rPr>
        <w:t>9</w:t>
      </w:r>
      <w:r w:rsidR="00E25CFB" w:rsidRPr="002F2D48">
        <w:rPr>
          <w:sz w:val="26"/>
          <w:szCs w:val="26"/>
        </w:rPr>
        <w:t xml:space="preserve"> год по доходам составило </w:t>
      </w:r>
      <w:r w:rsidR="00023F08" w:rsidRPr="002F2D48">
        <w:rPr>
          <w:bCs/>
          <w:sz w:val="26"/>
          <w:szCs w:val="26"/>
        </w:rPr>
        <w:t>991 015,10</w:t>
      </w:r>
      <w:r w:rsidR="00CA7431" w:rsidRPr="002F2D48">
        <w:rPr>
          <w:bCs/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 xml:space="preserve">тыс. руб. </w:t>
      </w:r>
      <w:r w:rsidR="00883861" w:rsidRPr="002F2D48">
        <w:rPr>
          <w:sz w:val="26"/>
          <w:szCs w:val="26"/>
        </w:rPr>
        <w:t xml:space="preserve">или </w:t>
      </w:r>
      <w:r w:rsidR="00023F08" w:rsidRPr="002F2D48">
        <w:rPr>
          <w:sz w:val="26"/>
          <w:szCs w:val="26"/>
        </w:rPr>
        <w:t>100</w:t>
      </w:r>
      <w:r w:rsidR="002B1CDC" w:rsidRPr="002F2D48">
        <w:rPr>
          <w:sz w:val="26"/>
          <w:szCs w:val="26"/>
        </w:rPr>
        <w:t>,</w:t>
      </w:r>
      <w:r w:rsidR="00023F08" w:rsidRPr="002F2D48">
        <w:rPr>
          <w:sz w:val="26"/>
          <w:szCs w:val="26"/>
        </w:rPr>
        <w:t>55</w:t>
      </w:r>
      <w:r w:rsidR="002B1CDC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%</w:t>
      </w:r>
      <w:r w:rsidR="00085F4C" w:rsidRPr="002F2D48">
        <w:rPr>
          <w:sz w:val="26"/>
          <w:szCs w:val="26"/>
        </w:rPr>
        <w:t xml:space="preserve"> </w:t>
      </w:r>
      <w:r w:rsidR="00014977" w:rsidRPr="002F2D48">
        <w:rPr>
          <w:sz w:val="26"/>
          <w:szCs w:val="26"/>
        </w:rPr>
        <w:t>от</w:t>
      </w:r>
      <w:r w:rsidR="00085F4C" w:rsidRPr="002F2D48">
        <w:rPr>
          <w:sz w:val="26"/>
          <w:szCs w:val="26"/>
        </w:rPr>
        <w:t xml:space="preserve"> </w:t>
      </w:r>
      <w:r w:rsidR="00FD2C7C" w:rsidRPr="002F2D48">
        <w:rPr>
          <w:sz w:val="26"/>
          <w:szCs w:val="26"/>
        </w:rPr>
        <w:t>уточненных плановых назначений</w:t>
      </w:r>
      <w:r w:rsidR="00E7466C" w:rsidRPr="002F2D48">
        <w:rPr>
          <w:sz w:val="26"/>
          <w:szCs w:val="26"/>
        </w:rPr>
        <w:t xml:space="preserve">, </w:t>
      </w:r>
      <w:r w:rsidR="0082626D" w:rsidRPr="002F2D48">
        <w:rPr>
          <w:sz w:val="26"/>
          <w:szCs w:val="26"/>
        </w:rPr>
        <w:t xml:space="preserve">из них: </w:t>
      </w:r>
    </w:p>
    <w:p w:rsidR="0082626D" w:rsidRPr="002F2D48" w:rsidRDefault="00085F4C" w:rsidP="00CB20A3">
      <w:pPr>
        <w:spacing w:line="276" w:lineRule="auto"/>
        <w:ind w:left="11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 xml:space="preserve">            - </w:t>
      </w:r>
      <w:r w:rsidR="001A42BB" w:rsidRPr="002F2D48">
        <w:rPr>
          <w:sz w:val="26"/>
          <w:szCs w:val="26"/>
        </w:rPr>
        <w:t xml:space="preserve">поступления по </w:t>
      </w:r>
      <w:r w:rsidR="0082626D" w:rsidRPr="002F2D48">
        <w:rPr>
          <w:sz w:val="26"/>
          <w:szCs w:val="26"/>
        </w:rPr>
        <w:t>налоговы</w:t>
      </w:r>
      <w:r w:rsidR="001A42BB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1A42BB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составили </w:t>
      </w:r>
      <w:r w:rsidR="00023F08" w:rsidRPr="002F2D48">
        <w:rPr>
          <w:sz w:val="26"/>
          <w:szCs w:val="26"/>
        </w:rPr>
        <w:t>281 712,98</w:t>
      </w:r>
      <w:r w:rsidRPr="002F2D4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 руб</w:t>
      </w:r>
      <w:r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023F08" w:rsidRPr="002F2D48">
        <w:rPr>
          <w:sz w:val="26"/>
          <w:szCs w:val="26"/>
        </w:rPr>
        <w:t>28,43</w:t>
      </w:r>
      <w:r w:rsidR="005600EE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023F08" w:rsidRPr="002F2D48">
        <w:rPr>
          <w:sz w:val="26"/>
          <w:szCs w:val="26"/>
        </w:rPr>
        <w:t xml:space="preserve"> и исполнены на 99,94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82626D" w:rsidRPr="002F2D48">
        <w:rPr>
          <w:sz w:val="26"/>
          <w:szCs w:val="26"/>
        </w:rPr>
        <w:t>;</w:t>
      </w:r>
    </w:p>
    <w:p w:rsidR="0082626D" w:rsidRPr="002F2D48" w:rsidRDefault="00085F4C" w:rsidP="00CB20A3">
      <w:pPr>
        <w:spacing w:line="276" w:lineRule="auto"/>
        <w:ind w:left="11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           - </w:t>
      </w:r>
      <w:r w:rsidR="00CA1D05" w:rsidRPr="002F2D48">
        <w:rPr>
          <w:sz w:val="26"/>
          <w:szCs w:val="26"/>
        </w:rPr>
        <w:t xml:space="preserve">по </w:t>
      </w:r>
      <w:r w:rsidR="0082626D" w:rsidRPr="002F2D48">
        <w:rPr>
          <w:sz w:val="26"/>
          <w:szCs w:val="26"/>
        </w:rPr>
        <w:t>неналоговы</w:t>
      </w:r>
      <w:r w:rsidR="00CA1D05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CA1D05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</w:t>
      </w:r>
      <w:r w:rsidR="00CA1D05" w:rsidRPr="002F2D48">
        <w:rPr>
          <w:sz w:val="26"/>
          <w:szCs w:val="26"/>
        </w:rPr>
        <w:t xml:space="preserve">поступило </w:t>
      </w:r>
      <w:r w:rsidR="00023F08" w:rsidRPr="002F2D48">
        <w:rPr>
          <w:sz w:val="26"/>
          <w:szCs w:val="26"/>
        </w:rPr>
        <w:t>93 772,90</w:t>
      </w:r>
      <w:r w:rsidR="0082626D" w:rsidRPr="002F2D48">
        <w:rPr>
          <w:sz w:val="26"/>
          <w:szCs w:val="26"/>
        </w:rPr>
        <w:t> тыс. руб</w:t>
      </w:r>
      <w:r w:rsidR="00EB0615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611CAA" w:rsidRPr="002F2D48">
        <w:rPr>
          <w:sz w:val="26"/>
          <w:szCs w:val="26"/>
        </w:rPr>
        <w:t>9,46</w:t>
      </w:r>
      <w:r w:rsidR="001A581A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3727D1" w:rsidRPr="002F2D48">
        <w:rPr>
          <w:sz w:val="26"/>
          <w:szCs w:val="26"/>
        </w:rPr>
        <w:t xml:space="preserve"> и исполн</w:t>
      </w:r>
      <w:r w:rsidR="00611CAA" w:rsidRPr="002F2D48">
        <w:rPr>
          <w:sz w:val="26"/>
          <w:szCs w:val="26"/>
        </w:rPr>
        <w:t>ены на 106,40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EB0615" w:rsidRPr="002F2D48">
        <w:rPr>
          <w:sz w:val="26"/>
          <w:szCs w:val="26"/>
        </w:rPr>
        <w:t>;</w:t>
      </w:r>
      <w:r w:rsidR="0082626D" w:rsidRPr="002F2D48">
        <w:rPr>
          <w:sz w:val="26"/>
          <w:szCs w:val="26"/>
        </w:rPr>
        <w:t xml:space="preserve"> </w:t>
      </w:r>
    </w:p>
    <w:p w:rsidR="002E1A78" w:rsidRPr="002F2D48" w:rsidRDefault="00EB0615" w:rsidP="00CB20A3">
      <w:pPr>
        <w:spacing w:line="276" w:lineRule="auto"/>
        <w:ind w:firstLine="36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      - безвозмездные перечисления </w:t>
      </w:r>
      <w:r w:rsidR="00CA1D05" w:rsidRPr="002F2D48">
        <w:rPr>
          <w:sz w:val="26"/>
          <w:szCs w:val="26"/>
        </w:rPr>
        <w:t xml:space="preserve">составили </w:t>
      </w:r>
      <w:r w:rsidRPr="002F2D48">
        <w:rPr>
          <w:sz w:val="26"/>
          <w:szCs w:val="26"/>
        </w:rPr>
        <w:t xml:space="preserve">– </w:t>
      </w:r>
      <w:r w:rsidR="00023F08" w:rsidRPr="002F2D48">
        <w:rPr>
          <w:sz w:val="26"/>
          <w:szCs w:val="26"/>
        </w:rPr>
        <w:t>615 529,2</w:t>
      </w:r>
      <w:r w:rsidR="00FD2C7C" w:rsidRPr="002F2D48">
        <w:rPr>
          <w:sz w:val="26"/>
          <w:szCs w:val="26"/>
        </w:rPr>
        <w:t>2</w:t>
      </w:r>
      <w:r w:rsidRPr="002F2D48">
        <w:rPr>
          <w:sz w:val="26"/>
          <w:szCs w:val="26"/>
        </w:rPr>
        <w:t xml:space="preserve"> тыс. руб. или </w:t>
      </w:r>
      <w:r w:rsidR="00611CAA" w:rsidRPr="002F2D48">
        <w:rPr>
          <w:sz w:val="26"/>
          <w:szCs w:val="26"/>
        </w:rPr>
        <w:t>62,11</w:t>
      </w:r>
      <w:r w:rsidRPr="002F2D48">
        <w:rPr>
          <w:sz w:val="26"/>
          <w:szCs w:val="26"/>
        </w:rPr>
        <w:t xml:space="preserve"> %</w:t>
      </w:r>
      <w:r w:rsidR="000F7647" w:rsidRPr="002F2D48">
        <w:rPr>
          <w:sz w:val="26"/>
          <w:szCs w:val="26"/>
        </w:rPr>
        <w:t xml:space="preserve"> от общего объема поступлений </w:t>
      </w:r>
      <w:r w:rsidR="003727D1" w:rsidRPr="002F2D48">
        <w:rPr>
          <w:sz w:val="26"/>
          <w:szCs w:val="26"/>
        </w:rPr>
        <w:t>и исполнены на 99,</w:t>
      </w:r>
      <w:r w:rsidR="00611CAA" w:rsidRPr="002F2D48">
        <w:rPr>
          <w:sz w:val="26"/>
          <w:szCs w:val="26"/>
        </w:rPr>
        <w:t>9</w:t>
      </w:r>
      <w:r w:rsidR="003727D1" w:rsidRPr="002F2D48">
        <w:rPr>
          <w:sz w:val="26"/>
          <w:szCs w:val="26"/>
        </w:rPr>
        <w:t>9 % от прогнозных назначений</w:t>
      </w:r>
      <w:r w:rsidRPr="002F2D48">
        <w:rPr>
          <w:sz w:val="26"/>
          <w:szCs w:val="26"/>
        </w:rPr>
        <w:t>.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2.2. Исполнение </w:t>
      </w:r>
      <w:r w:rsidR="00CB20A3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в разрезе </w:t>
      </w:r>
      <w:r w:rsidR="0096501E" w:rsidRPr="002F2D48">
        <w:rPr>
          <w:sz w:val="26"/>
          <w:szCs w:val="26"/>
        </w:rPr>
        <w:t xml:space="preserve">основных </w:t>
      </w:r>
      <w:r w:rsidRPr="002F2D48">
        <w:rPr>
          <w:sz w:val="26"/>
          <w:szCs w:val="26"/>
        </w:rPr>
        <w:t xml:space="preserve">групп доходов: 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>Налоговые доходы</w:t>
      </w:r>
    </w:p>
    <w:p w:rsidR="002E1A78" w:rsidRPr="002F2D48" w:rsidRDefault="00117207" w:rsidP="00CB20A3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И</w:t>
      </w:r>
      <w:r w:rsidR="002E1A78" w:rsidRPr="002F2D48">
        <w:rPr>
          <w:sz w:val="26"/>
          <w:szCs w:val="26"/>
        </w:rPr>
        <w:t>сполнен</w:t>
      </w:r>
      <w:r w:rsidRPr="002F2D48">
        <w:rPr>
          <w:sz w:val="26"/>
          <w:szCs w:val="26"/>
        </w:rPr>
        <w:t>ие</w:t>
      </w:r>
      <w:r w:rsidR="00CB20A3" w:rsidRPr="002F2D48">
        <w:rPr>
          <w:sz w:val="26"/>
          <w:szCs w:val="26"/>
        </w:rPr>
        <w:t xml:space="preserve"> доходной части городского</w:t>
      </w:r>
      <w:r w:rsidR="002E1A78" w:rsidRPr="002F2D48">
        <w:rPr>
          <w:sz w:val="26"/>
          <w:szCs w:val="26"/>
        </w:rPr>
        <w:t xml:space="preserve"> бюджета по </w:t>
      </w:r>
      <w:r w:rsidRPr="002F2D48">
        <w:rPr>
          <w:sz w:val="26"/>
          <w:szCs w:val="26"/>
        </w:rPr>
        <w:t xml:space="preserve">основным </w:t>
      </w:r>
      <w:r w:rsidR="003C0275" w:rsidRPr="002F2D48">
        <w:rPr>
          <w:sz w:val="26"/>
          <w:szCs w:val="26"/>
        </w:rPr>
        <w:t>налоговым поступлениям за 2019</w:t>
      </w:r>
      <w:r w:rsidR="002E1A78" w:rsidRPr="002F2D48">
        <w:rPr>
          <w:sz w:val="26"/>
          <w:szCs w:val="26"/>
        </w:rPr>
        <w:t xml:space="preserve"> год </w:t>
      </w:r>
      <w:r w:rsidR="00300556" w:rsidRPr="002F2D48">
        <w:rPr>
          <w:sz w:val="26"/>
          <w:szCs w:val="26"/>
        </w:rPr>
        <w:t>выглядит следующим образом</w:t>
      </w:r>
      <w:r w:rsidR="002E1A78" w:rsidRPr="002F2D48">
        <w:rPr>
          <w:sz w:val="26"/>
          <w:szCs w:val="26"/>
        </w:rPr>
        <w:t>:</w:t>
      </w:r>
    </w:p>
    <w:p w:rsidR="00117207" w:rsidRPr="002F2D48" w:rsidRDefault="00117207" w:rsidP="00532AE3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налог на доходы физических лиц </w:t>
      </w:r>
      <w:r w:rsidR="00DB63C1" w:rsidRPr="002F2D48">
        <w:rPr>
          <w:sz w:val="26"/>
          <w:szCs w:val="26"/>
        </w:rPr>
        <w:t>(</w:t>
      </w:r>
      <w:r w:rsidR="00187B4C" w:rsidRPr="002F2D48">
        <w:rPr>
          <w:sz w:val="26"/>
          <w:szCs w:val="26"/>
        </w:rPr>
        <w:t>92,48</w:t>
      </w:r>
      <w:r w:rsidR="0080627C" w:rsidRPr="002F2D48">
        <w:rPr>
          <w:sz w:val="26"/>
          <w:szCs w:val="26"/>
        </w:rPr>
        <w:t xml:space="preserve"> %</w:t>
      </w:r>
      <w:r w:rsidR="00300556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Pr="002F2D48">
        <w:rPr>
          <w:sz w:val="26"/>
          <w:szCs w:val="26"/>
        </w:rPr>
        <w:t xml:space="preserve"> </w:t>
      </w:r>
      <w:r w:rsidR="00187B4C" w:rsidRPr="002F2D48">
        <w:rPr>
          <w:sz w:val="26"/>
          <w:szCs w:val="26"/>
        </w:rPr>
        <w:t>исполнен в сумме 260 535,18 тыс. руб. или на 99,52</w:t>
      </w:r>
      <w:r w:rsidRPr="002F2D48">
        <w:rPr>
          <w:sz w:val="26"/>
          <w:szCs w:val="26"/>
        </w:rPr>
        <w:t xml:space="preserve"> % от плановых назначений, в сравнении с предыдущим отчетным периодом увеличение поступлени</w:t>
      </w:r>
      <w:r w:rsidR="006873B8" w:rsidRPr="002F2D48">
        <w:rPr>
          <w:sz w:val="26"/>
          <w:szCs w:val="26"/>
        </w:rPr>
        <w:t>й</w:t>
      </w:r>
      <w:r w:rsidR="00187B4C" w:rsidRPr="002F2D48">
        <w:rPr>
          <w:sz w:val="26"/>
          <w:szCs w:val="26"/>
        </w:rPr>
        <w:t xml:space="preserve"> составило 12,50</w:t>
      </w:r>
      <w:r w:rsidRPr="002F2D48">
        <w:rPr>
          <w:sz w:val="26"/>
          <w:szCs w:val="26"/>
        </w:rPr>
        <w:t xml:space="preserve"> %, что обусловлено </w:t>
      </w:r>
      <w:r w:rsidR="00532AE3" w:rsidRPr="002F2D48">
        <w:rPr>
          <w:sz w:val="26"/>
          <w:szCs w:val="26"/>
        </w:rPr>
        <w:t xml:space="preserve">увеличением размера дивидендов на 1 акцию </w:t>
      </w:r>
      <w:r w:rsidRPr="002F2D48">
        <w:rPr>
          <w:sz w:val="26"/>
          <w:szCs w:val="26"/>
        </w:rPr>
        <w:t>ПАО «ГМК «Норильский никель»</w:t>
      </w:r>
      <w:r w:rsidR="00532AE3" w:rsidRPr="002F2D48">
        <w:rPr>
          <w:sz w:val="26"/>
          <w:szCs w:val="26"/>
        </w:rPr>
        <w:t>,</w:t>
      </w:r>
      <w:r w:rsidR="006873B8" w:rsidRPr="002F2D48">
        <w:rPr>
          <w:sz w:val="26"/>
          <w:szCs w:val="26"/>
        </w:rPr>
        <w:t xml:space="preserve"> </w:t>
      </w:r>
      <w:r w:rsidR="00532AE3" w:rsidRPr="002F2D48">
        <w:rPr>
          <w:sz w:val="26"/>
          <w:szCs w:val="26"/>
        </w:rPr>
        <w:t xml:space="preserve">выплаченных по итогам </w:t>
      </w:r>
      <w:r w:rsidR="00D029B8" w:rsidRPr="002F2D48">
        <w:rPr>
          <w:sz w:val="26"/>
          <w:szCs w:val="26"/>
        </w:rPr>
        <w:t>первого полугодия 2019</w:t>
      </w:r>
      <w:r w:rsidR="00532AE3" w:rsidRPr="002F2D48">
        <w:rPr>
          <w:sz w:val="26"/>
          <w:szCs w:val="26"/>
        </w:rPr>
        <w:t xml:space="preserve"> года</w:t>
      </w:r>
      <w:r w:rsidRPr="002F2D48">
        <w:rPr>
          <w:sz w:val="26"/>
          <w:szCs w:val="26"/>
        </w:rPr>
        <w:t>;</w:t>
      </w:r>
    </w:p>
    <w:p w:rsidR="002E1A78" w:rsidRPr="002F2D48" w:rsidRDefault="002E1A78" w:rsidP="002E1A7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Pr="002F2D48">
        <w:rPr>
          <w:rFonts w:cs="Arial"/>
          <w:sz w:val="26"/>
          <w:szCs w:val="26"/>
        </w:rPr>
        <w:t xml:space="preserve"> налог на </w:t>
      </w:r>
      <w:r w:rsidR="00117207" w:rsidRPr="002F2D48">
        <w:rPr>
          <w:rFonts w:cs="Arial"/>
          <w:sz w:val="26"/>
          <w:szCs w:val="26"/>
        </w:rPr>
        <w:t>имущество физических лиц</w:t>
      </w:r>
      <w:r w:rsidR="006873B8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96501E" w:rsidRPr="002F2D48">
        <w:rPr>
          <w:sz w:val="26"/>
          <w:szCs w:val="26"/>
        </w:rPr>
        <w:t>6,37</w:t>
      </w:r>
      <w:r w:rsidR="00300556" w:rsidRPr="002F2D48">
        <w:rPr>
          <w:sz w:val="26"/>
          <w:szCs w:val="26"/>
        </w:rPr>
        <w:t xml:space="preserve"> %</w:t>
      </w:r>
      <w:r w:rsidR="006873B8" w:rsidRPr="002F2D48">
        <w:rPr>
          <w:sz w:val="26"/>
          <w:szCs w:val="26"/>
        </w:rPr>
        <w:t xml:space="preserve"> 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="006873B8" w:rsidRPr="002F2D48">
        <w:rPr>
          <w:sz w:val="26"/>
          <w:szCs w:val="26"/>
        </w:rPr>
        <w:t xml:space="preserve"> </w:t>
      </w:r>
      <w:r w:rsidR="0096501E" w:rsidRPr="002F2D48">
        <w:rPr>
          <w:sz w:val="26"/>
          <w:szCs w:val="26"/>
        </w:rPr>
        <w:t>исполнен в сумме 17 948</w:t>
      </w:r>
      <w:r w:rsidR="00B31198" w:rsidRPr="002F2D48">
        <w:rPr>
          <w:sz w:val="26"/>
          <w:szCs w:val="26"/>
        </w:rPr>
        <w:t>,</w:t>
      </w:r>
      <w:r w:rsidR="0096501E" w:rsidRPr="002F2D48">
        <w:rPr>
          <w:sz w:val="26"/>
          <w:szCs w:val="26"/>
        </w:rPr>
        <w:t>84 тыс. руб. или на 106,86</w:t>
      </w:r>
      <w:r w:rsidR="006873B8" w:rsidRPr="002F2D48">
        <w:rPr>
          <w:sz w:val="26"/>
          <w:szCs w:val="26"/>
        </w:rPr>
        <w:t xml:space="preserve"> % от плановых</w:t>
      </w:r>
      <w:r w:rsidR="00B31198" w:rsidRPr="002F2D48">
        <w:rPr>
          <w:sz w:val="26"/>
          <w:szCs w:val="26"/>
        </w:rPr>
        <w:t xml:space="preserve"> назначений, по </w:t>
      </w:r>
      <w:r w:rsidR="0096501E" w:rsidRPr="002F2D48">
        <w:rPr>
          <w:sz w:val="26"/>
          <w:szCs w:val="26"/>
        </w:rPr>
        <w:t>отношению к 2018</w:t>
      </w:r>
      <w:r w:rsidR="006873B8" w:rsidRPr="002F2D48">
        <w:rPr>
          <w:sz w:val="26"/>
          <w:szCs w:val="26"/>
        </w:rPr>
        <w:t xml:space="preserve"> го</w:t>
      </w:r>
      <w:r w:rsidR="00C84950" w:rsidRPr="002F2D48">
        <w:rPr>
          <w:sz w:val="26"/>
          <w:szCs w:val="26"/>
        </w:rPr>
        <w:t>ду поступления увеличились на 4,63</w:t>
      </w:r>
      <w:r w:rsidR="006873B8" w:rsidRPr="002F2D48">
        <w:rPr>
          <w:sz w:val="26"/>
          <w:szCs w:val="26"/>
        </w:rPr>
        <w:t xml:space="preserve"> % в связи с </w:t>
      </w:r>
      <w:r w:rsidR="00B31198" w:rsidRPr="002F2D48">
        <w:rPr>
          <w:sz w:val="26"/>
          <w:szCs w:val="26"/>
        </w:rPr>
        <w:t xml:space="preserve">уплатой </w:t>
      </w:r>
      <w:r w:rsidR="006873B8" w:rsidRPr="002F2D48">
        <w:rPr>
          <w:sz w:val="26"/>
          <w:szCs w:val="26"/>
        </w:rPr>
        <w:t>задолженности прошлых лет</w:t>
      </w:r>
      <w:r w:rsidRPr="002F2D48">
        <w:rPr>
          <w:sz w:val="26"/>
          <w:szCs w:val="26"/>
        </w:rPr>
        <w:t>;</w:t>
      </w:r>
    </w:p>
    <w:p w:rsidR="002E1A78" w:rsidRPr="002F2D48" w:rsidRDefault="002E1A78" w:rsidP="00623D11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117207" w:rsidRPr="002F2D48">
        <w:rPr>
          <w:sz w:val="26"/>
          <w:szCs w:val="26"/>
        </w:rPr>
        <w:t>земельн</w:t>
      </w:r>
      <w:r w:rsidR="006873B8" w:rsidRPr="002F2D48">
        <w:rPr>
          <w:sz w:val="26"/>
          <w:szCs w:val="26"/>
        </w:rPr>
        <w:t>ый</w:t>
      </w:r>
      <w:r w:rsidR="00117207" w:rsidRPr="002F2D48">
        <w:rPr>
          <w:sz w:val="26"/>
          <w:szCs w:val="26"/>
        </w:rPr>
        <w:t xml:space="preserve"> налог</w:t>
      </w:r>
      <w:r w:rsidR="00300556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C84950" w:rsidRPr="002F2D48">
        <w:rPr>
          <w:sz w:val="26"/>
          <w:szCs w:val="26"/>
        </w:rPr>
        <w:t>0,99</w:t>
      </w:r>
      <w:r w:rsidR="00300556" w:rsidRPr="002F2D48">
        <w:rPr>
          <w:sz w:val="26"/>
          <w:szCs w:val="26"/>
        </w:rPr>
        <w:t xml:space="preserve"> %</w:t>
      </w:r>
      <w:r w:rsidR="006873B8" w:rsidRPr="002F2D48">
        <w:rPr>
          <w:sz w:val="26"/>
          <w:szCs w:val="26"/>
        </w:rPr>
        <w:t xml:space="preserve"> в структуре исполненных налоговых доходов)</w:t>
      </w:r>
      <w:r w:rsidR="00C84950" w:rsidRPr="002F2D48">
        <w:rPr>
          <w:sz w:val="26"/>
          <w:szCs w:val="26"/>
        </w:rPr>
        <w:t xml:space="preserve"> исполнен в сумме 2 780,20 тыс. руб. или на 97,56</w:t>
      </w:r>
      <w:r w:rsidR="006873B8" w:rsidRPr="002F2D48">
        <w:rPr>
          <w:sz w:val="26"/>
          <w:szCs w:val="26"/>
        </w:rPr>
        <w:t xml:space="preserve"> % от плановых назначений, </w:t>
      </w:r>
      <w:r w:rsidR="00B31198" w:rsidRPr="002F2D48">
        <w:rPr>
          <w:sz w:val="26"/>
          <w:szCs w:val="26"/>
        </w:rPr>
        <w:t>по отношен</w:t>
      </w:r>
      <w:r w:rsidR="00C84950" w:rsidRPr="002F2D48">
        <w:rPr>
          <w:sz w:val="26"/>
          <w:szCs w:val="26"/>
        </w:rPr>
        <w:t>ию к 2018</w:t>
      </w:r>
      <w:r w:rsidR="006873B8" w:rsidRPr="002F2D48">
        <w:rPr>
          <w:sz w:val="26"/>
          <w:szCs w:val="26"/>
        </w:rPr>
        <w:t xml:space="preserve"> го</w:t>
      </w:r>
      <w:r w:rsidR="00C84950" w:rsidRPr="002F2D48">
        <w:rPr>
          <w:sz w:val="26"/>
          <w:szCs w:val="26"/>
        </w:rPr>
        <w:t>ду поступления уменьшились на 4,05</w:t>
      </w:r>
      <w:r w:rsidR="006873B8" w:rsidRPr="002F2D48">
        <w:rPr>
          <w:sz w:val="26"/>
          <w:szCs w:val="26"/>
        </w:rPr>
        <w:t xml:space="preserve"> % в связи с</w:t>
      </w:r>
      <w:r w:rsidR="00C84950" w:rsidRPr="002F2D48">
        <w:rPr>
          <w:sz w:val="26"/>
          <w:szCs w:val="26"/>
        </w:rPr>
        <w:t xml:space="preserve"> недобросовестным исполнением налогоплательщиками обязанности по уплате налогов</w:t>
      </w:r>
      <w:r w:rsidRPr="002F2D48">
        <w:rPr>
          <w:sz w:val="26"/>
          <w:szCs w:val="26"/>
        </w:rPr>
        <w:t xml:space="preserve">. </w:t>
      </w:r>
    </w:p>
    <w:p w:rsidR="002E1A78" w:rsidRPr="002F2D48" w:rsidRDefault="002E1A78" w:rsidP="00B311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>Неналоговые доходы</w:t>
      </w:r>
    </w:p>
    <w:p w:rsidR="00793C7E" w:rsidRPr="002F2D48" w:rsidRDefault="00793C7E" w:rsidP="00B3119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Исполнение доходной части </w:t>
      </w:r>
      <w:r w:rsidR="00B31198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по основным не</w:t>
      </w:r>
      <w:r w:rsidR="00743865" w:rsidRPr="002F2D48">
        <w:rPr>
          <w:sz w:val="26"/>
          <w:szCs w:val="26"/>
        </w:rPr>
        <w:t>налоговым поступлениям за 2019</w:t>
      </w:r>
      <w:r w:rsidRPr="002F2D48">
        <w:rPr>
          <w:sz w:val="26"/>
          <w:szCs w:val="26"/>
        </w:rPr>
        <w:t xml:space="preserve"> год </w:t>
      </w:r>
      <w:r w:rsidR="00300556" w:rsidRPr="002F2D48">
        <w:rPr>
          <w:sz w:val="26"/>
          <w:szCs w:val="26"/>
        </w:rPr>
        <w:t>выглядит следующим образом</w:t>
      </w:r>
      <w:r w:rsidRPr="002F2D48">
        <w:rPr>
          <w:sz w:val="26"/>
          <w:szCs w:val="26"/>
        </w:rPr>
        <w:t>:</w:t>
      </w:r>
    </w:p>
    <w:p w:rsidR="002E1A78" w:rsidRPr="002F2D48" w:rsidRDefault="002E1A78" w:rsidP="00B3119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- доход</w:t>
      </w:r>
      <w:r w:rsidR="00623D11" w:rsidRPr="002F2D48">
        <w:rPr>
          <w:sz w:val="26"/>
          <w:szCs w:val="26"/>
        </w:rPr>
        <w:t>ы</w:t>
      </w:r>
      <w:r w:rsidRPr="002F2D48">
        <w:rPr>
          <w:sz w:val="26"/>
          <w:szCs w:val="26"/>
        </w:rPr>
        <w:t xml:space="preserve"> от использования имущества, находящегося в </w:t>
      </w:r>
      <w:r w:rsidR="00357396" w:rsidRPr="002F2D48">
        <w:rPr>
          <w:sz w:val="26"/>
          <w:szCs w:val="26"/>
        </w:rPr>
        <w:t xml:space="preserve">государственной и </w:t>
      </w:r>
      <w:r w:rsidRPr="002F2D48">
        <w:rPr>
          <w:sz w:val="26"/>
          <w:szCs w:val="26"/>
        </w:rPr>
        <w:t xml:space="preserve">муниципальной собственности </w:t>
      </w:r>
      <w:r w:rsidR="00DB63C1" w:rsidRPr="002F2D48">
        <w:rPr>
          <w:sz w:val="26"/>
          <w:szCs w:val="26"/>
        </w:rPr>
        <w:t>(</w:t>
      </w:r>
      <w:r w:rsidR="00E17ED6" w:rsidRPr="002F2D48">
        <w:rPr>
          <w:sz w:val="26"/>
          <w:szCs w:val="26"/>
        </w:rPr>
        <w:t>94,49</w:t>
      </w:r>
      <w:r w:rsidR="00300556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в структуре исполненных неналоговых доходов</w:t>
      </w:r>
      <w:r w:rsidR="00DB63C1" w:rsidRPr="002F2D48">
        <w:rPr>
          <w:sz w:val="26"/>
          <w:szCs w:val="26"/>
        </w:rPr>
        <w:t xml:space="preserve">) </w:t>
      </w:r>
      <w:r w:rsidR="00E17ED6" w:rsidRPr="002F2D48">
        <w:rPr>
          <w:sz w:val="26"/>
          <w:szCs w:val="26"/>
        </w:rPr>
        <w:t>исполнены в сумме 88 601,20 тыс. руб. или на 105,61</w:t>
      </w:r>
      <w:r w:rsidR="00623D11" w:rsidRPr="002F2D48">
        <w:rPr>
          <w:sz w:val="26"/>
          <w:szCs w:val="26"/>
        </w:rPr>
        <w:t xml:space="preserve"> % от плановых назначений,</w:t>
      </w:r>
      <w:r w:rsidR="00DD1E92" w:rsidRPr="002F2D48">
        <w:rPr>
          <w:sz w:val="26"/>
          <w:szCs w:val="26"/>
        </w:rPr>
        <w:t xml:space="preserve"> в сравнении с предыдущим о</w:t>
      </w:r>
      <w:r w:rsidR="00E17ED6" w:rsidRPr="002F2D48">
        <w:rPr>
          <w:sz w:val="26"/>
          <w:szCs w:val="26"/>
        </w:rPr>
        <w:t>тчетным периодом уменьшение</w:t>
      </w:r>
      <w:r w:rsidR="00DD1E92" w:rsidRPr="002F2D48">
        <w:rPr>
          <w:sz w:val="26"/>
          <w:szCs w:val="26"/>
        </w:rPr>
        <w:t xml:space="preserve"> поступлений составило </w:t>
      </w:r>
      <w:r w:rsidR="00E17ED6" w:rsidRPr="002F2D48">
        <w:rPr>
          <w:sz w:val="26"/>
          <w:szCs w:val="26"/>
        </w:rPr>
        <w:br/>
        <w:t>6,50</w:t>
      </w:r>
      <w:r w:rsidR="00DD1E92" w:rsidRPr="002F2D48">
        <w:rPr>
          <w:sz w:val="26"/>
          <w:szCs w:val="26"/>
        </w:rPr>
        <w:t xml:space="preserve"> %, что обусловлено</w:t>
      </w:r>
      <w:r w:rsidR="00E17ED6" w:rsidRPr="002F2D48">
        <w:rPr>
          <w:sz w:val="28"/>
          <w:szCs w:val="28"/>
        </w:rPr>
        <w:t xml:space="preserve"> </w:t>
      </w:r>
      <w:r w:rsidR="00E17ED6" w:rsidRPr="002F2D48">
        <w:rPr>
          <w:sz w:val="26"/>
          <w:szCs w:val="26"/>
        </w:rPr>
        <w:t>уплатой покупателями полной выкупной стоимости жилых помещений, завершением срока выкупа большинства нежилых помещений, также расторжением договоров аренды с ликвидированными организациями</w:t>
      </w:r>
      <w:r w:rsidR="00623D11" w:rsidRPr="002F2D48">
        <w:rPr>
          <w:sz w:val="26"/>
          <w:szCs w:val="26"/>
        </w:rPr>
        <w:t>;</w:t>
      </w:r>
    </w:p>
    <w:p w:rsidR="00467E3E" w:rsidRPr="002F2D48" w:rsidRDefault="002E1A78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- доход</w:t>
      </w:r>
      <w:r w:rsidR="00623D11" w:rsidRPr="002F2D48">
        <w:rPr>
          <w:sz w:val="26"/>
          <w:szCs w:val="26"/>
        </w:rPr>
        <w:t>ы</w:t>
      </w:r>
      <w:r w:rsidRPr="002F2D48">
        <w:rPr>
          <w:sz w:val="26"/>
          <w:szCs w:val="26"/>
        </w:rPr>
        <w:t xml:space="preserve"> от продажи материальных и нематериальных активов </w:t>
      </w:r>
      <w:r w:rsidR="00DB63C1" w:rsidRPr="002F2D48">
        <w:rPr>
          <w:sz w:val="26"/>
          <w:szCs w:val="26"/>
        </w:rPr>
        <w:t>(</w:t>
      </w:r>
      <w:r w:rsidR="00EF399A" w:rsidRPr="002F2D48">
        <w:rPr>
          <w:sz w:val="26"/>
          <w:szCs w:val="26"/>
        </w:rPr>
        <w:t>3,91</w:t>
      </w:r>
      <w:r w:rsidR="00300556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в структуре исполненных неналоговых доходов</w:t>
      </w:r>
      <w:r w:rsidR="00DB63C1" w:rsidRPr="002F2D48">
        <w:rPr>
          <w:sz w:val="26"/>
          <w:szCs w:val="26"/>
        </w:rPr>
        <w:t>)</w:t>
      </w:r>
      <w:r w:rsidR="00EF399A" w:rsidRPr="002F2D48">
        <w:rPr>
          <w:sz w:val="26"/>
          <w:szCs w:val="26"/>
        </w:rPr>
        <w:t xml:space="preserve"> исполнены в сумме 3 668,00</w:t>
      </w:r>
      <w:r w:rsidR="009E10C6" w:rsidRPr="002F2D48">
        <w:rPr>
          <w:sz w:val="26"/>
          <w:szCs w:val="26"/>
        </w:rPr>
        <w:t xml:space="preserve"> тыс. руб. или на</w:t>
      </w:r>
      <w:r w:rsidR="002E5802" w:rsidRPr="002F2D48">
        <w:rPr>
          <w:sz w:val="26"/>
          <w:szCs w:val="26"/>
        </w:rPr>
        <w:br/>
      </w:r>
      <w:r w:rsidR="00EF399A" w:rsidRPr="002F2D48">
        <w:rPr>
          <w:sz w:val="26"/>
          <w:szCs w:val="26"/>
        </w:rPr>
        <w:t>111,94</w:t>
      </w:r>
      <w:r w:rsidR="00623D11" w:rsidRPr="002F2D48">
        <w:rPr>
          <w:sz w:val="26"/>
          <w:szCs w:val="26"/>
        </w:rPr>
        <w:t xml:space="preserve"> % от плановых назначений,</w:t>
      </w:r>
      <w:r w:rsidR="00074710" w:rsidRPr="002F2D48">
        <w:rPr>
          <w:sz w:val="26"/>
          <w:szCs w:val="26"/>
        </w:rPr>
        <w:t xml:space="preserve"> </w:t>
      </w:r>
      <w:r w:rsidR="009E10C6" w:rsidRPr="002F2D48">
        <w:rPr>
          <w:sz w:val="26"/>
          <w:szCs w:val="26"/>
        </w:rPr>
        <w:t>перевыполнение плановых назначений обусловлено</w:t>
      </w:r>
      <w:r w:rsidR="00EF399A" w:rsidRPr="002F2D48">
        <w:rPr>
          <w:sz w:val="28"/>
          <w:szCs w:val="28"/>
        </w:rPr>
        <w:t xml:space="preserve"> </w:t>
      </w:r>
      <w:r w:rsidR="00EF399A" w:rsidRPr="002F2D48">
        <w:rPr>
          <w:sz w:val="26"/>
          <w:szCs w:val="26"/>
        </w:rPr>
        <w:t>перечислением задатков по новым договорам, досрочным полным выкупом квартир и другого имущества, уплатой процентов за предоставление рассрочки по выкупу имущества, большим, чем планировалось количеством поступивших заявлений о продаже земельных участков.</w:t>
      </w:r>
      <w:r w:rsidR="009E10C6" w:rsidRPr="002F2D48">
        <w:rPr>
          <w:sz w:val="26"/>
          <w:szCs w:val="26"/>
        </w:rPr>
        <w:t xml:space="preserve"> </w:t>
      </w:r>
      <w:r w:rsidR="005B477C" w:rsidRPr="002F2D48">
        <w:rPr>
          <w:sz w:val="26"/>
          <w:szCs w:val="26"/>
        </w:rPr>
        <w:t>По отношению к предыдущему отчетном периоду</w:t>
      </w:r>
      <w:r w:rsidR="00074710" w:rsidRPr="002F2D48">
        <w:rPr>
          <w:sz w:val="26"/>
          <w:szCs w:val="26"/>
        </w:rPr>
        <w:t xml:space="preserve"> </w:t>
      </w:r>
      <w:r w:rsidR="005B477C" w:rsidRPr="002F2D48">
        <w:rPr>
          <w:sz w:val="26"/>
          <w:szCs w:val="26"/>
        </w:rPr>
        <w:t>сложилось уменьшение</w:t>
      </w:r>
      <w:r w:rsidR="00074710" w:rsidRPr="002F2D48">
        <w:rPr>
          <w:sz w:val="26"/>
          <w:szCs w:val="26"/>
        </w:rPr>
        <w:t xml:space="preserve"> поступлений </w:t>
      </w:r>
      <w:r w:rsidR="00EF399A" w:rsidRPr="002F2D48">
        <w:rPr>
          <w:sz w:val="26"/>
          <w:szCs w:val="26"/>
        </w:rPr>
        <w:t>на 65,53</w:t>
      </w:r>
      <w:r w:rsidR="00074710" w:rsidRPr="002F2D48">
        <w:rPr>
          <w:sz w:val="26"/>
          <w:szCs w:val="26"/>
        </w:rPr>
        <w:t xml:space="preserve"> %, что обусловлено</w:t>
      </w:r>
      <w:r w:rsidR="00EF399A" w:rsidRPr="002F2D48">
        <w:rPr>
          <w:sz w:val="26"/>
          <w:szCs w:val="26"/>
        </w:rPr>
        <w:t xml:space="preserve"> тем, что в 2018 году большинство покупателей заплатили полную выкупную стоимость жилых помещений, а также в связи с завершением срока выкупа большинства нежилых помещений.</w:t>
      </w:r>
    </w:p>
    <w:p w:rsidR="002E1A78" w:rsidRPr="002F2D48" w:rsidRDefault="002E1A78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b/>
          <w:sz w:val="26"/>
          <w:szCs w:val="26"/>
        </w:rPr>
        <w:t>Безвозмездные поступления</w:t>
      </w:r>
    </w:p>
    <w:p w:rsidR="00C96D85" w:rsidRPr="002F2D48" w:rsidRDefault="002E1A78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В доходную часть </w:t>
      </w:r>
      <w:r w:rsidR="00E47136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также поступили безвозмездные перечисления в виде субвенций</w:t>
      </w:r>
      <w:r w:rsidR="00C96D85" w:rsidRPr="002F2D48">
        <w:rPr>
          <w:sz w:val="26"/>
          <w:szCs w:val="26"/>
        </w:rPr>
        <w:t xml:space="preserve"> и</w:t>
      </w:r>
      <w:r w:rsidRPr="002F2D48">
        <w:rPr>
          <w:sz w:val="26"/>
          <w:szCs w:val="26"/>
        </w:rPr>
        <w:t xml:space="preserve"> иных межбюджетных трансфертов, в том числе:</w:t>
      </w:r>
      <w:r w:rsidR="00C96D85" w:rsidRPr="002F2D48">
        <w:rPr>
          <w:sz w:val="26"/>
          <w:szCs w:val="26"/>
        </w:rPr>
        <w:t xml:space="preserve"> </w:t>
      </w:r>
    </w:p>
    <w:p w:rsidR="00C96D85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>субвенции бюджетам бюджетной системы РФ в сумме</w:t>
      </w:r>
      <w:r w:rsidR="00E72821" w:rsidRPr="002F2D48">
        <w:rPr>
          <w:sz w:val="26"/>
          <w:szCs w:val="26"/>
        </w:rPr>
        <w:t xml:space="preserve"> 7 046,26</w:t>
      </w:r>
      <w:r w:rsidR="00FB06FF" w:rsidRPr="002F2D48">
        <w:rPr>
          <w:sz w:val="26"/>
          <w:szCs w:val="26"/>
        </w:rPr>
        <w:t xml:space="preserve"> тыс. руб. или </w:t>
      </w:r>
      <w:r w:rsidR="00FB06FF" w:rsidRPr="002F2D48">
        <w:rPr>
          <w:sz w:val="26"/>
          <w:szCs w:val="26"/>
        </w:rPr>
        <w:br/>
      </w:r>
      <w:r w:rsidR="00DB63C1" w:rsidRPr="002F2D48">
        <w:rPr>
          <w:sz w:val="26"/>
          <w:szCs w:val="26"/>
        </w:rPr>
        <w:t>(</w:t>
      </w:r>
      <w:r w:rsidR="00E72821" w:rsidRPr="002F2D48">
        <w:rPr>
          <w:sz w:val="26"/>
          <w:szCs w:val="26"/>
        </w:rPr>
        <w:t>0,71</w:t>
      </w:r>
      <w:r w:rsidR="00FB06FF" w:rsidRPr="002F2D48">
        <w:rPr>
          <w:sz w:val="26"/>
          <w:szCs w:val="26"/>
        </w:rPr>
        <w:t xml:space="preserve"> % в структуре доходов городского бюджета</w:t>
      </w:r>
      <w:r w:rsidR="00DB63C1" w:rsidRPr="002F2D48">
        <w:rPr>
          <w:sz w:val="26"/>
          <w:szCs w:val="26"/>
        </w:rPr>
        <w:t>)</w:t>
      </w:r>
      <w:r w:rsidR="004A7E96" w:rsidRPr="002F2D48">
        <w:rPr>
          <w:sz w:val="26"/>
          <w:szCs w:val="26"/>
        </w:rPr>
        <w:t xml:space="preserve"> </w:t>
      </w:r>
      <w:r w:rsidR="00E72821" w:rsidRPr="002F2D48">
        <w:rPr>
          <w:sz w:val="26"/>
          <w:szCs w:val="26"/>
        </w:rPr>
        <w:t>и исполнены на 100,00</w:t>
      </w:r>
      <w:r w:rsidR="004A7E96" w:rsidRPr="002F2D48">
        <w:rPr>
          <w:sz w:val="26"/>
          <w:szCs w:val="26"/>
        </w:rPr>
        <w:t xml:space="preserve"> % от прогнозных назначений</w:t>
      </w:r>
      <w:r w:rsidRPr="002F2D48">
        <w:rPr>
          <w:sz w:val="26"/>
          <w:szCs w:val="26"/>
        </w:rPr>
        <w:t>;</w:t>
      </w:r>
    </w:p>
    <w:p w:rsidR="00F50FA3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 xml:space="preserve">иные межбюджетные </w:t>
      </w:r>
      <w:r w:rsidR="00E72821" w:rsidRPr="002F2D48">
        <w:rPr>
          <w:sz w:val="26"/>
          <w:szCs w:val="26"/>
        </w:rPr>
        <w:t xml:space="preserve">трансферты в сумме 608 530,22 тыс. руб. или </w:t>
      </w:r>
      <w:r w:rsidR="00E72821" w:rsidRPr="002F2D48">
        <w:rPr>
          <w:sz w:val="26"/>
          <w:szCs w:val="26"/>
        </w:rPr>
        <w:br/>
        <w:t>(61,41</w:t>
      </w:r>
      <w:r w:rsidR="00F50FA3" w:rsidRPr="002F2D48">
        <w:rPr>
          <w:sz w:val="26"/>
          <w:szCs w:val="26"/>
        </w:rPr>
        <w:t xml:space="preserve"> % в структуре доходов городско</w:t>
      </w:r>
      <w:r w:rsidR="00E72821" w:rsidRPr="002F2D48">
        <w:rPr>
          <w:sz w:val="26"/>
          <w:szCs w:val="26"/>
        </w:rPr>
        <w:t>го бюджета) и исполнены на 99,99</w:t>
      </w:r>
      <w:r w:rsidR="00F50FA3" w:rsidRPr="002F2D48">
        <w:rPr>
          <w:sz w:val="26"/>
          <w:szCs w:val="26"/>
        </w:rPr>
        <w:t xml:space="preserve"> % от прогнозных назначений;</w:t>
      </w:r>
    </w:p>
    <w:p w:rsidR="00FB06FF" w:rsidRPr="002F2D48" w:rsidRDefault="00F50FA3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доходы от возврата </w:t>
      </w:r>
      <w:r w:rsidR="00E72821" w:rsidRPr="002F2D48">
        <w:rPr>
          <w:sz w:val="26"/>
          <w:szCs w:val="26"/>
        </w:rPr>
        <w:t xml:space="preserve">организациям </w:t>
      </w:r>
      <w:r w:rsidRPr="002F2D48">
        <w:rPr>
          <w:sz w:val="26"/>
          <w:szCs w:val="26"/>
        </w:rPr>
        <w:t>остатко</w:t>
      </w:r>
      <w:r w:rsidR="00E72821" w:rsidRPr="002F2D48">
        <w:rPr>
          <w:sz w:val="26"/>
          <w:szCs w:val="26"/>
        </w:rPr>
        <w:t>в субсидий прошлых лет в сумме 147,42</w:t>
      </w:r>
      <w:r w:rsidRPr="002F2D48">
        <w:rPr>
          <w:sz w:val="26"/>
          <w:szCs w:val="26"/>
        </w:rPr>
        <w:t xml:space="preserve"> тыс. руб. или 100</w:t>
      </w:r>
      <w:r w:rsidR="00E72821" w:rsidRPr="002F2D48">
        <w:rPr>
          <w:sz w:val="26"/>
          <w:szCs w:val="26"/>
        </w:rPr>
        <w:t>,00</w:t>
      </w:r>
      <w:r w:rsidRPr="002F2D48">
        <w:rPr>
          <w:sz w:val="26"/>
          <w:szCs w:val="26"/>
        </w:rPr>
        <w:t xml:space="preserve"> % от прогнозных назначений;</w:t>
      </w:r>
    </w:p>
    <w:p w:rsidR="002E1A78" w:rsidRPr="002F2D48" w:rsidRDefault="002E1A78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При этом возврат из </w:t>
      </w:r>
      <w:r w:rsidR="00F50FA3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оста</w:t>
      </w:r>
      <w:r w:rsidR="00982EC3" w:rsidRPr="002F2D48">
        <w:rPr>
          <w:sz w:val="26"/>
          <w:szCs w:val="26"/>
        </w:rPr>
        <w:t xml:space="preserve">тков субсидий, субвенций и иных </w:t>
      </w:r>
      <w:r w:rsidRPr="002F2D48">
        <w:rPr>
          <w:sz w:val="26"/>
          <w:szCs w:val="26"/>
        </w:rPr>
        <w:t>межбюджетных трансфертов прошлых лет, имеющи</w:t>
      </w:r>
      <w:r w:rsidR="00C96D85" w:rsidRPr="002F2D48">
        <w:rPr>
          <w:sz w:val="26"/>
          <w:szCs w:val="26"/>
        </w:rPr>
        <w:t xml:space="preserve">х целевое назначение, составил </w:t>
      </w:r>
      <w:r w:rsidR="00982EC3" w:rsidRPr="002F2D48">
        <w:rPr>
          <w:sz w:val="26"/>
          <w:szCs w:val="26"/>
        </w:rPr>
        <w:t xml:space="preserve">минус </w:t>
      </w:r>
      <w:r w:rsidR="00E72821" w:rsidRPr="002F2D48">
        <w:rPr>
          <w:sz w:val="26"/>
          <w:szCs w:val="26"/>
        </w:rPr>
        <w:t>194,67</w:t>
      </w:r>
      <w:r w:rsidR="00C96D85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тыс. руб. (исполнение - </w:t>
      </w:r>
      <w:r w:rsidR="00C96D85" w:rsidRPr="002F2D48">
        <w:rPr>
          <w:sz w:val="26"/>
          <w:szCs w:val="26"/>
        </w:rPr>
        <w:t>100</w:t>
      </w:r>
      <w:r w:rsidRPr="002F2D48">
        <w:rPr>
          <w:sz w:val="26"/>
          <w:szCs w:val="26"/>
        </w:rPr>
        <w:t xml:space="preserve"> %).</w:t>
      </w:r>
    </w:p>
    <w:p w:rsidR="00470776" w:rsidRPr="002F2D48" w:rsidRDefault="00470776" w:rsidP="00A65BA8">
      <w:pPr>
        <w:spacing w:line="252" w:lineRule="auto"/>
        <w:ind w:firstLine="720"/>
        <w:jc w:val="both"/>
        <w:rPr>
          <w:sz w:val="26"/>
          <w:szCs w:val="26"/>
        </w:rPr>
      </w:pPr>
    </w:p>
    <w:p w:rsidR="002020A0" w:rsidRPr="002F2D48" w:rsidRDefault="002020A0" w:rsidP="00C97985">
      <w:pPr>
        <w:pStyle w:val="af8"/>
        <w:numPr>
          <w:ilvl w:val="0"/>
          <w:numId w:val="41"/>
        </w:numPr>
        <w:spacing w:line="252" w:lineRule="auto"/>
        <w:jc w:val="center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t>Исполнение городского бюджета по расходам</w:t>
      </w:r>
    </w:p>
    <w:p w:rsidR="00C97985" w:rsidRPr="002F2D48" w:rsidRDefault="00C97985" w:rsidP="00C97985">
      <w:pPr>
        <w:spacing w:line="286" w:lineRule="auto"/>
        <w:ind w:firstLine="709"/>
        <w:jc w:val="both"/>
        <w:rPr>
          <w:b/>
          <w:bCs/>
          <w:sz w:val="16"/>
          <w:szCs w:val="16"/>
        </w:rPr>
      </w:pPr>
    </w:p>
    <w:p w:rsidR="00C97985" w:rsidRPr="002F2D48" w:rsidRDefault="00C97985" w:rsidP="00C97985">
      <w:pPr>
        <w:pStyle w:val="af8"/>
        <w:numPr>
          <w:ilvl w:val="1"/>
          <w:numId w:val="42"/>
        </w:numPr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t xml:space="preserve">Анализ плановых показателей расходов </w:t>
      </w:r>
      <w:r w:rsidR="00EE411B" w:rsidRPr="002F2D48">
        <w:rPr>
          <w:b/>
          <w:bCs/>
          <w:sz w:val="26"/>
          <w:szCs w:val="26"/>
        </w:rPr>
        <w:t xml:space="preserve">городского </w:t>
      </w:r>
      <w:r w:rsidRPr="002F2D48">
        <w:rPr>
          <w:b/>
          <w:bCs/>
          <w:sz w:val="26"/>
          <w:szCs w:val="26"/>
        </w:rPr>
        <w:t>бюджета</w:t>
      </w:r>
    </w:p>
    <w:p w:rsidR="00C97985" w:rsidRPr="002F2D48" w:rsidRDefault="00C97985" w:rsidP="00C97985">
      <w:pPr>
        <w:pStyle w:val="af8"/>
        <w:spacing w:line="276" w:lineRule="auto"/>
        <w:ind w:left="1080"/>
        <w:rPr>
          <w:b/>
          <w:bCs/>
          <w:sz w:val="16"/>
          <w:szCs w:val="16"/>
        </w:rPr>
      </w:pPr>
    </w:p>
    <w:p w:rsidR="00C97985" w:rsidRPr="002F2D48" w:rsidRDefault="00EE411B" w:rsidP="00111370">
      <w:pPr>
        <w:pStyle w:val="af8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В первоначальной ре</w:t>
      </w:r>
      <w:r w:rsidR="002C44A1" w:rsidRPr="002F2D48">
        <w:rPr>
          <w:bCs/>
          <w:sz w:val="26"/>
          <w:szCs w:val="26"/>
        </w:rPr>
        <w:t>дакции Решения о бюджете на 2019</w:t>
      </w:r>
      <w:r w:rsidRPr="002F2D48">
        <w:rPr>
          <w:bCs/>
          <w:sz w:val="26"/>
          <w:szCs w:val="26"/>
        </w:rPr>
        <w:t xml:space="preserve"> год городской бюджет был утвержден по расходам в сумме </w:t>
      </w:r>
      <w:r w:rsidR="002C44A1" w:rsidRPr="002F2D48">
        <w:rPr>
          <w:sz w:val="26"/>
          <w:szCs w:val="26"/>
        </w:rPr>
        <w:t>816 378,54</w:t>
      </w:r>
      <w:r w:rsidR="002C44A1" w:rsidRPr="002F2D48">
        <w:rPr>
          <w:b/>
          <w:sz w:val="26"/>
          <w:szCs w:val="26"/>
        </w:rPr>
        <w:t xml:space="preserve"> </w:t>
      </w:r>
      <w:r w:rsidRPr="002F2D48">
        <w:rPr>
          <w:bCs/>
          <w:sz w:val="26"/>
          <w:szCs w:val="26"/>
        </w:rPr>
        <w:t xml:space="preserve">тыс. руб. </w:t>
      </w:r>
      <w:r w:rsidR="00C97985" w:rsidRPr="002F2D48">
        <w:rPr>
          <w:bCs/>
          <w:sz w:val="26"/>
          <w:szCs w:val="26"/>
        </w:rPr>
        <w:t xml:space="preserve">В течение отчетного </w:t>
      </w:r>
      <w:r w:rsidR="00111370" w:rsidRPr="002F2D48">
        <w:rPr>
          <w:bCs/>
          <w:sz w:val="26"/>
          <w:szCs w:val="26"/>
        </w:rPr>
        <w:t xml:space="preserve">периода </w:t>
      </w:r>
      <w:r w:rsidR="00C97985" w:rsidRPr="002F2D48">
        <w:rPr>
          <w:bCs/>
          <w:sz w:val="26"/>
          <w:szCs w:val="26"/>
        </w:rPr>
        <w:t xml:space="preserve">в расходы </w:t>
      </w:r>
      <w:r w:rsidRPr="002F2D48">
        <w:rPr>
          <w:bCs/>
          <w:sz w:val="26"/>
          <w:szCs w:val="26"/>
        </w:rPr>
        <w:t xml:space="preserve">городского </w:t>
      </w:r>
      <w:r w:rsidR="00C97985" w:rsidRPr="002F2D48">
        <w:rPr>
          <w:bCs/>
          <w:sz w:val="26"/>
          <w:szCs w:val="26"/>
        </w:rPr>
        <w:t xml:space="preserve">бюджета </w:t>
      </w:r>
      <w:r w:rsidR="00550CCD" w:rsidRPr="002F2D48">
        <w:rPr>
          <w:bCs/>
          <w:sz w:val="26"/>
          <w:szCs w:val="26"/>
        </w:rPr>
        <w:t>семь раз</w:t>
      </w:r>
      <w:r w:rsidR="00C97985" w:rsidRPr="002F2D48">
        <w:rPr>
          <w:bCs/>
          <w:sz w:val="26"/>
          <w:szCs w:val="26"/>
        </w:rPr>
        <w:t xml:space="preserve"> вносились изменения. </w:t>
      </w:r>
      <w:r w:rsidRPr="002F2D48">
        <w:rPr>
          <w:bCs/>
          <w:sz w:val="26"/>
          <w:szCs w:val="26"/>
        </w:rPr>
        <w:t>В результате внесенных изменений</w:t>
      </w:r>
      <w:r w:rsidR="00550CCD" w:rsidRPr="002F2D48">
        <w:rPr>
          <w:bCs/>
          <w:sz w:val="26"/>
          <w:szCs w:val="26"/>
        </w:rPr>
        <w:t xml:space="preserve"> расходы городско</w:t>
      </w:r>
      <w:r w:rsidR="002C44A1" w:rsidRPr="002F2D48">
        <w:rPr>
          <w:bCs/>
          <w:sz w:val="26"/>
          <w:szCs w:val="26"/>
        </w:rPr>
        <w:t>го бюджета на 2019</w:t>
      </w:r>
      <w:r w:rsidR="00111370" w:rsidRPr="002F2D48">
        <w:rPr>
          <w:bCs/>
          <w:sz w:val="26"/>
          <w:szCs w:val="26"/>
        </w:rPr>
        <w:t xml:space="preserve"> год </w:t>
      </w:r>
      <w:r w:rsidR="002C44A1" w:rsidRPr="002F2D48">
        <w:rPr>
          <w:bCs/>
          <w:sz w:val="26"/>
          <w:szCs w:val="26"/>
        </w:rPr>
        <w:t xml:space="preserve">были </w:t>
      </w:r>
      <w:r w:rsidR="00111370" w:rsidRPr="002F2D48">
        <w:rPr>
          <w:bCs/>
          <w:sz w:val="26"/>
          <w:szCs w:val="26"/>
        </w:rPr>
        <w:t>утверждены в сумме</w:t>
      </w:r>
      <w:r w:rsidR="00550CCD" w:rsidRPr="002F2D48">
        <w:rPr>
          <w:bCs/>
          <w:sz w:val="26"/>
          <w:szCs w:val="26"/>
        </w:rPr>
        <w:t xml:space="preserve"> </w:t>
      </w:r>
      <w:r w:rsidR="002C44A1" w:rsidRPr="002F2D48">
        <w:rPr>
          <w:sz w:val="26"/>
          <w:szCs w:val="26"/>
        </w:rPr>
        <w:t>963 895,48 </w:t>
      </w:r>
      <w:r w:rsidR="00550CCD" w:rsidRPr="002F2D48">
        <w:rPr>
          <w:bCs/>
          <w:sz w:val="26"/>
          <w:szCs w:val="26"/>
        </w:rPr>
        <w:t>тыс. руб.</w:t>
      </w:r>
    </w:p>
    <w:p w:rsidR="00C97985" w:rsidRPr="002F2D48" w:rsidRDefault="00C97985" w:rsidP="00C97985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Объемы и структура расходов</w:t>
      </w:r>
      <w:r w:rsidR="00111370" w:rsidRPr="002F2D48">
        <w:rPr>
          <w:bCs/>
          <w:sz w:val="26"/>
          <w:szCs w:val="26"/>
        </w:rPr>
        <w:t xml:space="preserve"> городского бюджета, утвержд</w:t>
      </w:r>
      <w:r w:rsidR="000418FF" w:rsidRPr="002F2D48">
        <w:rPr>
          <w:bCs/>
          <w:sz w:val="26"/>
          <w:szCs w:val="26"/>
        </w:rPr>
        <w:t>енные Решением о бюджете на 2019</w:t>
      </w:r>
      <w:r w:rsidR="00111370" w:rsidRPr="002F2D48">
        <w:rPr>
          <w:bCs/>
          <w:sz w:val="26"/>
          <w:szCs w:val="26"/>
        </w:rPr>
        <w:t xml:space="preserve"> год </w:t>
      </w:r>
      <w:r w:rsidR="000418FF" w:rsidRPr="002F2D48">
        <w:rPr>
          <w:bCs/>
          <w:sz w:val="26"/>
          <w:szCs w:val="26"/>
        </w:rPr>
        <w:t>в первоначальной редакции (от 19.12.2018 № 01-0011</w:t>
      </w:r>
      <w:r w:rsidR="00111370" w:rsidRPr="002F2D48">
        <w:rPr>
          <w:bCs/>
          <w:sz w:val="26"/>
          <w:szCs w:val="26"/>
        </w:rPr>
        <w:t xml:space="preserve">) </w:t>
      </w:r>
      <w:r w:rsidRPr="002F2D48">
        <w:rPr>
          <w:bCs/>
          <w:sz w:val="26"/>
          <w:szCs w:val="26"/>
        </w:rPr>
        <w:t>и изменениями в него</w:t>
      </w:r>
      <w:r w:rsidR="000418FF" w:rsidRPr="002F2D48">
        <w:rPr>
          <w:bCs/>
          <w:sz w:val="26"/>
          <w:szCs w:val="26"/>
        </w:rPr>
        <w:t xml:space="preserve"> (от 19.12.2019 № 03-0091</w:t>
      </w:r>
      <w:r w:rsidR="00111370" w:rsidRPr="002F2D48">
        <w:rPr>
          <w:bCs/>
          <w:sz w:val="26"/>
          <w:szCs w:val="26"/>
        </w:rPr>
        <w:t>)</w:t>
      </w:r>
      <w:r w:rsidRPr="002F2D48">
        <w:rPr>
          <w:bCs/>
          <w:sz w:val="26"/>
          <w:szCs w:val="26"/>
        </w:rPr>
        <w:t xml:space="preserve"> по разделам класс</w:t>
      </w:r>
      <w:r w:rsidR="00111370" w:rsidRPr="002F2D48">
        <w:rPr>
          <w:bCs/>
          <w:sz w:val="26"/>
          <w:szCs w:val="26"/>
        </w:rPr>
        <w:t xml:space="preserve">ификации расходов бюджета </w:t>
      </w:r>
      <w:r w:rsidRPr="002F2D48">
        <w:rPr>
          <w:bCs/>
          <w:sz w:val="26"/>
          <w:szCs w:val="26"/>
        </w:rPr>
        <w:t>представлены в таблице</w:t>
      </w:r>
      <w:r w:rsidR="00111370" w:rsidRPr="002F2D48">
        <w:rPr>
          <w:bCs/>
          <w:sz w:val="26"/>
          <w:szCs w:val="26"/>
        </w:rPr>
        <w:t xml:space="preserve"> 2</w:t>
      </w:r>
      <w:r w:rsidRPr="002F2D48">
        <w:rPr>
          <w:bCs/>
          <w:sz w:val="26"/>
          <w:szCs w:val="26"/>
        </w:rPr>
        <w:t>.</w:t>
      </w:r>
    </w:p>
    <w:p w:rsidR="00C97985" w:rsidRPr="002F2D48" w:rsidRDefault="00111370" w:rsidP="00C97985">
      <w:pPr>
        <w:spacing w:line="286" w:lineRule="auto"/>
        <w:ind w:firstLine="720"/>
        <w:jc w:val="right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Таблица 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559"/>
        <w:gridCol w:w="1701"/>
        <w:gridCol w:w="1418"/>
        <w:gridCol w:w="1417"/>
      </w:tblGrid>
      <w:tr w:rsidR="00C97985" w:rsidRPr="002F2D48" w:rsidTr="00E47136">
        <w:trPr>
          <w:trHeight w:val="122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</w:rPr>
            </w:pPr>
            <w:r w:rsidRPr="002F2D48">
              <w:rPr>
                <w:b/>
                <w:sz w:val="20"/>
                <w:szCs w:val="20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  <w:highlight w:val="yellow"/>
              </w:rPr>
            </w:pPr>
            <w:r w:rsidRPr="002F2D48">
              <w:rPr>
                <w:b/>
                <w:bCs/>
                <w:sz w:val="20"/>
                <w:szCs w:val="20"/>
              </w:rPr>
              <w:t>Р</w:t>
            </w:r>
            <w:r w:rsidRPr="002F2D48">
              <w:rPr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Утверждено</w:t>
            </w:r>
          </w:p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Решением о бюджете</w:t>
            </w:r>
          </w:p>
          <w:p w:rsidR="00C97985" w:rsidRPr="002F2D48" w:rsidRDefault="00756940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№ 01-0011</w:t>
            </w:r>
            <w:r w:rsidR="006B37A0" w:rsidRPr="002F2D48">
              <w:rPr>
                <w:b/>
                <w:sz w:val="20"/>
                <w:szCs w:val="20"/>
              </w:rPr>
              <w:t xml:space="preserve"> в первоначальн. редакции</w:t>
            </w:r>
          </w:p>
          <w:p w:rsidR="00C97985" w:rsidRPr="002F2D48" w:rsidRDefault="00C97985" w:rsidP="00E47136">
            <w:pPr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Утверждено</w:t>
            </w:r>
          </w:p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Решением о бюджете</w:t>
            </w:r>
          </w:p>
          <w:p w:rsidR="00C97985" w:rsidRPr="002F2D48" w:rsidRDefault="00756940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№ 03-0091</w:t>
            </w:r>
          </w:p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 xml:space="preserve"> с учетом предыдущих изменений</w:t>
            </w:r>
          </w:p>
          <w:p w:rsidR="00C97985" w:rsidRPr="002F2D48" w:rsidRDefault="00C97985" w:rsidP="00E47136">
            <w:pPr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Объем изменений</w:t>
            </w:r>
          </w:p>
          <w:p w:rsidR="00C97985" w:rsidRPr="002F2D48" w:rsidRDefault="00C97985" w:rsidP="00E47136">
            <w:pPr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(тыс. руб.)</w:t>
            </w:r>
          </w:p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18"/>
                <w:szCs w:val="18"/>
              </w:rPr>
              <w:t>гр.2-гр.1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Процент изменений</w:t>
            </w:r>
          </w:p>
          <w:p w:rsidR="00C97985" w:rsidRPr="002F2D48" w:rsidRDefault="00C97985" w:rsidP="00E47136">
            <w:pPr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(%)</w:t>
            </w:r>
          </w:p>
          <w:p w:rsidR="00C97985" w:rsidRPr="002F2D48" w:rsidRDefault="00C97985" w:rsidP="00E47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7985" w:rsidRPr="002F2D48" w:rsidTr="00E47136">
        <w:trPr>
          <w:trHeight w:val="25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center"/>
              <w:rPr>
                <w:b/>
                <w:sz w:val="22"/>
                <w:szCs w:val="22"/>
              </w:rPr>
            </w:pPr>
            <w:r w:rsidRPr="002F2D48">
              <w:rPr>
                <w:b/>
                <w:sz w:val="22"/>
                <w:szCs w:val="22"/>
              </w:rPr>
              <w:t>4</w:t>
            </w:r>
          </w:p>
        </w:tc>
      </w:tr>
      <w:tr w:rsidR="00C97985" w:rsidRPr="002F2D48" w:rsidTr="00E47136">
        <w:trPr>
          <w:trHeight w:val="25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196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394</w:t>
            </w:r>
            <w:r w:rsidR="005C0287" w:rsidRPr="002F2D48">
              <w:rPr>
                <w:sz w:val="20"/>
                <w:szCs w:val="20"/>
              </w:rPr>
              <w:t>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198 712,35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3 317,45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1,18</w:t>
            </w:r>
          </w:p>
        </w:tc>
      </w:tr>
      <w:tr w:rsidR="00C97985" w:rsidRPr="002F2D48" w:rsidTr="00E47136">
        <w:trPr>
          <w:trHeight w:val="25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381</w:t>
            </w:r>
            <w:r w:rsidR="005C0287" w:rsidRPr="002F2D48">
              <w:rPr>
                <w:sz w:val="20"/>
                <w:szCs w:val="20"/>
              </w:rPr>
              <w:t>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7 019,33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1 638,12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985" w:rsidRPr="002F2D48" w:rsidRDefault="004E101D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30,44</w:t>
            </w:r>
          </w:p>
        </w:tc>
      </w:tr>
      <w:tr w:rsidR="00C97985" w:rsidRPr="002F2D48" w:rsidTr="00E47136">
        <w:trPr>
          <w:trHeight w:val="431"/>
        </w:trPr>
        <w:tc>
          <w:tcPr>
            <w:tcW w:w="3686" w:type="dxa"/>
            <w:shd w:val="clear" w:color="auto" w:fill="auto"/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010</w:t>
            </w:r>
            <w:r w:rsidR="005C0287" w:rsidRPr="002F2D48">
              <w:rPr>
                <w:sz w:val="20"/>
                <w:szCs w:val="20"/>
              </w:rPr>
              <w:t>,71</w:t>
            </w:r>
          </w:p>
        </w:tc>
        <w:tc>
          <w:tcPr>
            <w:tcW w:w="1701" w:type="dxa"/>
            <w:shd w:val="clear" w:color="auto" w:fill="auto"/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2 096,69</w:t>
            </w:r>
          </w:p>
        </w:tc>
        <w:tc>
          <w:tcPr>
            <w:tcW w:w="1418" w:type="dxa"/>
            <w:shd w:val="clear" w:color="auto" w:fill="auto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85,98</w:t>
            </w:r>
          </w:p>
        </w:tc>
        <w:tc>
          <w:tcPr>
            <w:tcW w:w="1417" w:type="dxa"/>
            <w:shd w:val="clear" w:color="auto" w:fill="auto"/>
          </w:tcPr>
          <w:p w:rsidR="00C97985" w:rsidRPr="002F2D48" w:rsidRDefault="004E101D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4,28</w:t>
            </w:r>
          </w:p>
        </w:tc>
      </w:tr>
      <w:tr w:rsidR="00C97985" w:rsidRPr="002F2D48" w:rsidTr="00E47136">
        <w:trPr>
          <w:trHeight w:val="274"/>
        </w:trPr>
        <w:tc>
          <w:tcPr>
            <w:tcW w:w="3686" w:type="dxa"/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47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000</w:t>
            </w:r>
            <w:r w:rsidR="005C0287" w:rsidRPr="002F2D48">
              <w:rPr>
                <w:sz w:val="20"/>
                <w:szCs w:val="20"/>
              </w:rPr>
              <w:t>,98</w:t>
            </w:r>
          </w:p>
        </w:tc>
        <w:tc>
          <w:tcPr>
            <w:tcW w:w="1701" w:type="dxa"/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112 845,10</w:t>
            </w:r>
          </w:p>
        </w:tc>
        <w:tc>
          <w:tcPr>
            <w:tcW w:w="1418" w:type="dxa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65 844,12</w:t>
            </w:r>
          </w:p>
        </w:tc>
        <w:tc>
          <w:tcPr>
            <w:tcW w:w="1417" w:type="dxa"/>
          </w:tcPr>
          <w:p w:rsidR="00C97985" w:rsidRPr="002F2D48" w:rsidRDefault="004E101D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140,09</w:t>
            </w:r>
          </w:p>
        </w:tc>
      </w:tr>
      <w:tr w:rsidR="00C97985" w:rsidRPr="002F2D48" w:rsidTr="00E47136">
        <w:trPr>
          <w:trHeight w:val="243"/>
        </w:trPr>
        <w:tc>
          <w:tcPr>
            <w:tcW w:w="3686" w:type="dxa"/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118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338</w:t>
            </w:r>
            <w:r w:rsidR="005C0287" w:rsidRPr="002F2D48">
              <w:rPr>
                <w:sz w:val="20"/>
                <w:szCs w:val="20"/>
              </w:rPr>
              <w:t>,21</w:t>
            </w:r>
          </w:p>
        </w:tc>
        <w:tc>
          <w:tcPr>
            <w:tcW w:w="1701" w:type="dxa"/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158 214,23</w:t>
            </w:r>
          </w:p>
        </w:tc>
        <w:tc>
          <w:tcPr>
            <w:tcW w:w="1418" w:type="dxa"/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39 876,02</w:t>
            </w:r>
          </w:p>
        </w:tc>
        <w:tc>
          <w:tcPr>
            <w:tcW w:w="1417" w:type="dxa"/>
          </w:tcPr>
          <w:p w:rsidR="00C97985" w:rsidRPr="002F2D48" w:rsidRDefault="00A813FA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33,70</w:t>
            </w:r>
          </w:p>
        </w:tc>
      </w:tr>
      <w:tr w:rsidR="00C97985" w:rsidRPr="002F2D48" w:rsidTr="00E47136">
        <w:trPr>
          <w:trHeight w:val="165"/>
        </w:trPr>
        <w:tc>
          <w:tcPr>
            <w:tcW w:w="3686" w:type="dxa"/>
            <w:tcBorders>
              <w:bottom w:val="single" w:sz="4" w:space="0" w:color="auto"/>
            </w:tcBorders>
          </w:tcPr>
          <w:p w:rsidR="00C97985" w:rsidRPr="002F2D48" w:rsidRDefault="00C97985" w:rsidP="00E4713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7985" w:rsidRPr="002F2D48" w:rsidRDefault="00C97985" w:rsidP="00E47136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7985" w:rsidRPr="002F2D48" w:rsidRDefault="00B73604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67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061</w:t>
            </w:r>
            <w:r w:rsidR="005C0287" w:rsidRPr="002F2D48">
              <w:rPr>
                <w:sz w:val="20"/>
                <w:szCs w:val="20"/>
              </w:rPr>
              <w:t>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985" w:rsidRPr="002F2D48" w:rsidRDefault="00756940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76 090,76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985" w:rsidRPr="002F2D48" w:rsidRDefault="005D59B8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9 029,04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7985" w:rsidRPr="002F2D48" w:rsidRDefault="00A813FA" w:rsidP="00E47136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13,46</w:t>
            </w:r>
          </w:p>
        </w:tc>
      </w:tr>
      <w:tr w:rsidR="00B73604" w:rsidRPr="002F2D48" w:rsidTr="00E3573A">
        <w:trPr>
          <w:trHeight w:val="212"/>
        </w:trPr>
        <w:tc>
          <w:tcPr>
            <w:tcW w:w="3686" w:type="dxa"/>
          </w:tcPr>
          <w:p w:rsidR="00B73604" w:rsidRPr="002F2D48" w:rsidRDefault="00B73604" w:rsidP="00B73604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Культура и кинематография</w:t>
            </w:r>
          </w:p>
        </w:tc>
        <w:tc>
          <w:tcPr>
            <w:tcW w:w="567" w:type="dxa"/>
          </w:tcPr>
          <w:p w:rsidR="00B73604" w:rsidRPr="002F2D48" w:rsidRDefault="00B73604" w:rsidP="00B73604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center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254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252</w:t>
            </w:r>
            <w:r w:rsidR="005C0287" w:rsidRPr="002F2D48">
              <w:rPr>
                <w:sz w:val="20"/>
                <w:szCs w:val="20"/>
              </w:rPr>
              <w:t>,68</w:t>
            </w:r>
          </w:p>
        </w:tc>
        <w:tc>
          <w:tcPr>
            <w:tcW w:w="1701" w:type="dxa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270 544,45</w:t>
            </w:r>
          </w:p>
        </w:tc>
        <w:tc>
          <w:tcPr>
            <w:tcW w:w="1418" w:type="dxa"/>
          </w:tcPr>
          <w:p w:rsidR="00B73604" w:rsidRPr="002F2D48" w:rsidRDefault="005D59B8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16 291,77</w:t>
            </w:r>
          </w:p>
        </w:tc>
        <w:tc>
          <w:tcPr>
            <w:tcW w:w="1417" w:type="dxa"/>
          </w:tcPr>
          <w:p w:rsidR="00B73604" w:rsidRPr="002F2D48" w:rsidRDefault="00A813FA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6,41</w:t>
            </w:r>
          </w:p>
        </w:tc>
      </w:tr>
      <w:tr w:rsidR="00B73604" w:rsidRPr="002F2D48" w:rsidTr="00E47136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B73604" w:rsidP="00B73604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830</w:t>
            </w:r>
            <w:r w:rsidR="005C0287" w:rsidRPr="002F2D48">
              <w:rPr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5 586,14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5D59B8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- 244,04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04" w:rsidRPr="002F2D48" w:rsidRDefault="00A813FA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- 4,19</w:t>
            </w:r>
          </w:p>
        </w:tc>
      </w:tr>
      <w:tr w:rsidR="00B73604" w:rsidRPr="002F2D48" w:rsidTr="00E47136">
        <w:trPr>
          <w:trHeight w:val="276"/>
        </w:trPr>
        <w:tc>
          <w:tcPr>
            <w:tcW w:w="3686" w:type="dxa"/>
            <w:shd w:val="clear" w:color="auto" w:fill="auto"/>
          </w:tcPr>
          <w:p w:rsidR="00B73604" w:rsidRPr="002F2D48" w:rsidRDefault="00B73604" w:rsidP="00B73604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Физическая культура и спорт</w:t>
            </w:r>
            <w:r w:rsidRPr="002F2D48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66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986</w:t>
            </w:r>
            <w:r w:rsidR="005C0287" w:rsidRPr="002F2D48">
              <w:rPr>
                <w:sz w:val="20"/>
                <w:szCs w:val="20"/>
              </w:rPr>
              <w:t>,83</w:t>
            </w:r>
          </w:p>
        </w:tc>
        <w:tc>
          <w:tcPr>
            <w:tcW w:w="1701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79 668,82</w:t>
            </w:r>
          </w:p>
        </w:tc>
        <w:tc>
          <w:tcPr>
            <w:tcW w:w="1418" w:type="dxa"/>
            <w:shd w:val="clear" w:color="auto" w:fill="auto"/>
          </w:tcPr>
          <w:p w:rsidR="00B73604" w:rsidRPr="002F2D48" w:rsidRDefault="005D59B8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12 681,99</w:t>
            </w:r>
          </w:p>
        </w:tc>
        <w:tc>
          <w:tcPr>
            <w:tcW w:w="1417" w:type="dxa"/>
            <w:shd w:val="clear" w:color="auto" w:fill="auto"/>
          </w:tcPr>
          <w:p w:rsidR="00B73604" w:rsidRPr="002F2D48" w:rsidRDefault="00A813FA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18,93</w:t>
            </w:r>
          </w:p>
        </w:tc>
      </w:tr>
      <w:tr w:rsidR="00B73604" w:rsidRPr="002F2D48" w:rsidTr="00E47136">
        <w:trPr>
          <w:trHeight w:val="253"/>
        </w:trPr>
        <w:tc>
          <w:tcPr>
            <w:tcW w:w="3686" w:type="dxa"/>
            <w:shd w:val="clear" w:color="auto" w:fill="auto"/>
          </w:tcPr>
          <w:p w:rsidR="00B73604" w:rsidRPr="002F2D48" w:rsidRDefault="00B73604" w:rsidP="00B73604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75</w:t>
            </w:r>
            <w:r w:rsidR="005C0287" w:rsidRPr="002F2D48">
              <w:rPr>
                <w:sz w:val="20"/>
                <w:szCs w:val="20"/>
              </w:rPr>
              <w:t>,62</w:t>
            </w:r>
          </w:p>
        </w:tc>
        <w:tc>
          <w:tcPr>
            <w:tcW w:w="1701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72,11</w:t>
            </w:r>
          </w:p>
        </w:tc>
        <w:tc>
          <w:tcPr>
            <w:tcW w:w="1418" w:type="dxa"/>
            <w:shd w:val="clear" w:color="auto" w:fill="auto"/>
          </w:tcPr>
          <w:p w:rsidR="00B73604" w:rsidRPr="002F2D48" w:rsidRDefault="005D59B8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- 3,51</w:t>
            </w:r>
          </w:p>
        </w:tc>
        <w:tc>
          <w:tcPr>
            <w:tcW w:w="1417" w:type="dxa"/>
            <w:shd w:val="clear" w:color="auto" w:fill="auto"/>
          </w:tcPr>
          <w:p w:rsidR="00B73604" w:rsidRPr="002F2D48" w:rsidRDefault="00A813FA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- 4,64</w:t>
            </w:r>
          </w:p>
        </w:tc>
      </w:tr>
      <w:tr w:rsidR="00B73604" w:rsidRPr="002F2D48" w:rsidTr="00E47136">
        <w:tc>
          <w:tcPr>
            <w:tcW w:w="3686" w:type="dxa"/>
            <w:shd w:val="clear" w:color="auto" w:fill="auto"/>
          </w:tcPr>
          <w:p w:rsidR="00B73604" w:rsidRPr="002F2D48" w:rsidRDefault="00B73604" w:rsidP="00B73604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7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53</w:t>
            </w:r>
            <w:r w:rsidR="005C0287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045</w:t>
            </w:r>
            <w:r w:rsidR="005C0287" w:rsidRPr="002F2D48">
              <w:rPr>
                <w:sz w:val="20"/>
                <w:szCs w:val="20"/>
              </w:rPr>
              <w:t>,50</w:t>
            </w:r>
          </w:p>
        </w:tc>
        <w:tc>
          <w:tcPr>
            <w:tcW w:w="1701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53 045,50</w:t>
            </w:r>
          </w:p>
        </w:tc>
        <w:tc>
          <w:tcPr>
            <w:tcW w:w="1418" w:type="dxa"/>
            <w:shd w:val="clear" w:color="auto" w:fill="auto"/>
          </w:tcPr>
          <w:p w:rsidR="00B73604" w:rsidRPr="002F2D48" w:rsidRDefault="005D59B8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73604" w:rsidRPr="002F2D48" w:rsidRDefault="00A813FA" w:rsidP="00B7360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х</w:t>
            </w:r>
          </w:p>
        </w:tc>
      </w:tr>
      <w:tr w:rsidR="00B73604" w:rsidRPr="002F2D48" w:rsidTr="00E47136">
        <w:tc>
          <w:tcPr>
            <w:tcW w:w="3686" w:type="dxa"/>
            <w:shd w:val="clear" w:color="auto" w:fill="auto"/>
          </w:tcPr>
          <w:p w:rsidR="00B73604" w:rsidRPr="002F2D48" w:rsidRDefault="00B73604" w:rsidP="00B73604">
            <w:pPr>
              <w:rPr>
                <w:b/>
                <w:bCs/>
                <w:sz w:val="18"/>
                <w:szCs w:val="18"/>
              </w:rPr>
            </w:pPr>
            <w:r w:rsidRPr="002F2D4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816</w:t>
            </w:r>
            <w:r w:rsidR="005C0287" w:rsidRPr="002F2D48">
              <w:rPr>
                <w:b/>
                <w:sz w:val="20"/>
                <w:szCs w:val="20"/>
              </w:rPr>
              <w:t> </w:t>
            </w:r>
            <w:r w:rsidRPr="002F2D48">
              <w:rPr>
                <w:b/>
                <w:sz w:val="20"/>
                <w:szCs w:val="20"/>
              </w:rPr>
              <w:t>378</w:t>
            </w:r>
            <w:r w:rsidR="005C0287" w:rsidRPr="002F2D48">
              <w:rPr>
                <w:b/>
                <w:sz w:val="20"/>
                <w:szCs w:val="20"/>
              </w:rPr>
              <w:t>,54</w:t>
            </w:r>
          </w:p>
        </w:tc>
        <w:tc>
          <w:tcPr>
            <w:tcW w:w="1701" w:type="dxa"/>
            <w:shd w:val="clear" w:color="auto" w:fill="auto"/>
          </w:tcPr>
          <w:p w:rsidR="00B73604" w:rsidRPr="002F2D48" w:rsidRDefault="00B73604" w:rsidP="00B7360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963 895,48</w:t>
            </w:r>
          </w:p>
        </w:tc>
        <w:tc>
          <w:tcPr>
            <w:tcW w:w="1418" w:type="dxa"/>
            <w:shd w:val="clear" w:color="auto" w:fill="auto"/>
          </w:tcPr>
          <w:p w:rsidR="00B73604" w:rsidRPr="002F2D48" w:rsidRDefault="005D59B8" w:rsidP="00B7360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147 516,94</w:t>
            </w:r>
          </w:p>
        </w:tc>
        <w:tc>
          <w:tcPr>
            <w:tcW w:w="1417" w:type="dxa"/>
            <w:shd w:val="clear" w:color="auto" w:fill="auto"/>
          </w:tcPr>
          <w:p w:rsidR="00B73604" w:rsidRPr="002F2D48" w:rsidRDefault="0036562A" w:rsidP="00B7360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18,07</w:t>
            </w:r>
          </w:p>
        </w:tc>
      </w:tr>
    </w:tbl>
    <w:p w:rsidR="00AA7445" w:rsidRPr="002F2D48" w:rsidRDefault="00AA7445" w:rsidP="00AA7445">
      <w:pPr>
        <w:spacing w:line="286" w:lineRule="auto"/>
        <w:ind w:firstLine="720"/>
        <w:jc w:val="both"/>
        <w:rPr>
          <w:bCs/>
          <w:sz w:val="26"/>
          <w:szCs w:val="26"/>
        </w:rPr>
      </w:pPr>
    </w:p>
    <w:p w:rsidR="00AA7445" w:rsidRPr="002F2D48" w:rsidRDefault="00AA7445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rFonts w:eastAsia="Calibri"/>
          <w:sz w:val="26"/>
          <w:szCs w:val="26"/>
        </w:rPr>
        <w:t xml:space="preserve">Анализ изменений, внесенных в </w:t>
      </w:r>
      <w:r w:rsidR="004A7B42" w:rsidRPr="002F2D48">
        <w:rPr>
          <w:sz w:val="26"/>
          <w:szCs w:val="26"/>
        </w:rPr>
        <w:t>Решение о бюджете на 2019</w:t>
      </w:r>
      <w:r w:rsidRPr="002F2D48">
        <w:rPr>
          <w:sz w:val="26"/>
          <w:szCs w:val="26"/>
        </w:rPr>
        <w:t xml:space="preserve"> год, </w:t>
      </w:r>
      <w:r w:rsidRPr="002F2D48">
        <w:rPr>
          <w:rFonts w:eastAsia="Calibri"/>
          <w:sz w:val="26"/>
          <w:szCs w:val="26"/>
        </w:rPr>
        <w:t>показал следующее.</w:t>
      </w:r>
    </w:p>
    <w:p w:rsidR="00AA7445" w:rsidRPr="002F2D48" w:rsidRDefault="00AA7445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rFonts w:eastAsia="Calibri"/>
          <w:sz w:val="26"/>
          <w:szCs w:val="26"/>
        </w:rPr>
        <w:t>Редакциями измен</w:t>
      </w:r>
      <w:r w:rsidR="00DE1D71">
        <w:rPr>
          <w:rFonts w:eastAsia="Calibri"/>
          <w:sz w:val="26"/>
          <w:szCs w:val="26"/>
        </w:rPr>
        <w:t>ений в Решение о бюджете на 2019</w:t>
      </w:r>
      <w:r w:rsidRPr="002F2D48">
        <w:rPr>
          <w:rFonts w:eastAsia="Calibri"/>
          <w:sz w:val="26"/>
          <w:szCs w:val="26"/>
        </w:rPr>
        <w:t xml:space="preserve"> год изменения внесены по 10 из 11 разделам рас</w:t>
      </w:r>
      <w:r w:rsidR="004A7B42" w:rsidRPr="002F2D48">
        <w:rPr>
          <w:rFonts w:eastAsia="Calibri"/>
          <w:sz w:val="26"/>
          <w:szCs w:val="26"/>
        </w:rPr>
        <w:t>ходов бюджета на общую сумму 147 516,94</w:t>
      </w:r>
      <w:r w:rsidRPr="002F2D48">
        <w:rPr>
          <w:rFonts w:eastAsia="Calibri"/>
          <w:sz w:val="26"/>
          <w:szCs w:val="26"/>
        </w:rPr>
        <w:t xml:space="preserve"> тыс. руб. По разделу 14 «</w:t>
      </w:r>
      <w:r w:rsidRPr="002F2D48">
        <w:rPr>
          <w:bCs/>
          <w:sz w:val="26"/>
          <w:szCs w:val="26"/>
        </w:rPr>
        <w:t>Межбюджетные трансферты общего характера бюджетам бюджетной системы РФ</w:t>
      </w:r>
      <w:r w:rsidRPr="002F2D48">
        <w:rPr>
          <w:rFonts w:eastAsia="Calibri"/>
          <w:sz w:val="26"/>
          <w:szCs w:val="26"/>
        </w:rPr>
        <w:t>» изменения не вносились.</w:t>
      </w:r>
    </w:p>
    <w:p w:rsidR="00152E6B" w:rsidRPr="002F2D48" w:rsidRDefault="00152E6B" w:rsidP="00680F29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rFonts w:eastAsia="Calibri"/>
          <w:sz w:val="26"/>
          <w:szCs w:val="26"/>
        </w:rPr>
        <w:t>Основное увеличение расходов городского бюджета сложилось по таким разделам как:</w:t>
      </w:r>
    </w:p>
    <w:p w:rsidR="00152E6B" w:rsidRPr="002F2D48" w:rsidRDefault="00323B38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«Национальная экономика» </w:t>
      </w:r>
      <w:r w:rsidR="004A7B42" w:rsidRPr="002F2D48">
        <w:rPr>
          <w:sz w:val="26"/>
          <w:szCs w:val="26"/>
        </w:rPr>
        <w:t>на 140,09</w:t>
      </w:r>
      <w:r w:rsidR="00152E6B" w:rsidRPr="002F2D48">
        <w:rPr>
          <w:sz w:val="26"/>
          <w:szCs w:val="26"/>
        </w:rPr>
        <w:t xml:space="preserve"> % или </w:t>
      </w:r>
      <w:r w:rsidR="004A7B42" w:rsidRPr="002F2D48">
        <w:rPr>
          <w:sz w:val="26"/>
          <w:szCs w:val="26"/>
        </w:rPr>
        <w:t>65 844,12</w:t>
      </w:r>
      <w:r w:rsidR="004A7B42" w:rsidRPr="002F2D48">
        <w:rPr>
          <w:sz w:val="20"/>
          <w:szCs w:val="20"/>
        </w:rPr>
        <w:t xml:space="preserve"> </w:t>
      </w:r>
      <w:r w:rsidR="00152E6B" w:rsidRPr="002F2D48">
        <w:rPr>
          <w:sz w:val="26"/>
          <w:szCs w:val="26"/>
        </w:rPr>
        <w:t>тыс. руб. и в основном обусловлено увеличением расходов</w:t>
      </w:r>
      <w:r w:rsidR="00152E6B" w:rsidRPr="002F2D48">
        <w:rPr>
          <w:sz w:val="28"/>
          <w:szCs w:val="28"/>
        </w:rPr>
        <w:t xml:space="preserve"> </w:t>
      </w:r>
      <w:r w:rsidR="00152E6B" w:rsidRPr="002F2D48">
        <w:rPr>
          <w:sz w:val="26"/>
          <w:szCs w:val="26"/>
        </w:rPr>
        <w:t xml:space="preserve">за счет </w:t>
      </w:r>
      <w:r w:rsidR="00A9373A" w:rsidRPr="002F2D48">
        <w:rPr>
          <w:sz w:val="26"/>
          <w:szCs w:val="26"/>
        </w:rPr>
        <w:t xml:space="preserve">иных </w:t>
      </w:r>
      <w:r w:rsidR="00343A81" w:rsidRPr="002F2D48">
        <w:rPr>
          <w:sz w:val="26"/>
          <w:szCs w:val="26"/>
        </w:rPr>
        <w:t xml:space="preserve">межбюджетных трансфертов </w:t>
      </w:r>
      <w:r w:rsidR="00A9373A" w:rsidRPr="002F2D48">
        <w:rPr>
          <w:sz w:val="26"/>
          <w:szCs w:val="26"/>
        </w:rPr>
        <w:t xml:space="preserve">из краевого бюджета </w:t>
      </w:r>
      <w:r w:rsidR="00152E6B" w:rsidRPr="002F2D48">
        <w:rPr>
          <w:sz w:val="26"/>
          <w:szCs w:val="26"/>
        </w:rPr>
        <w:t xml:space="preserve">на </w:t>
      </w:r>
      <w:r w:rsidR="00A9373A" w:rsidRPr="002F2D48">
        <w:rPr>
          <w:sz w:val="26"/>
          <w:szCs w:val="26"/>
        </w:rPr>
        <w:t>содержание</w:t>
      </w:r>
      <w:r w:rsidR="00B546E9" w:rsidRPr="002F2D48">
        <w:rPr>
          <w:sz w:val="26"/>
          <w:szCs w:val="26"/>
        </w:rPr>
        <w:t>,</w:t>
      </w:r>
      <w:r w:rsidR="00A9373A" w:rsidRPr="002F2D48">
        <w:rPr>
          <w:sz w:val="26"/>
          <w:szCs w:val="26"/>
        </w:rPr>
        <w:t xml:space="preserve"> </w:t>
      </w:r>
      <w:r w:rsidR="00B40BE4" w:rsidRPr="002F2D48">
        <w:rPr>
          <w:sz w:val="26"/>
          <w:szCs w:val="26"/>
        </w:rPr>
        <w:t xml:space="preserve">капитальный ремонт и </w:t>
      </w:r>
      <w:r w:rsidR="00B546E9" w:rsidRPr="002F2D48">
        <w:rPr>
          <w:sz w:val="26"/>
          <w:szCs w:val="26"/>
        </w:rPr>
        <w:t xml:space="preserve">ремонт </w:t>
      </w:r>
      <w:r w:rsidR="00A9373A" w:rsidRPr="002F2D48">
        <w:rPr>
          <w:sz w:val="26"/>
          <w:szCs w:val="26"/>
        </w:rPr>
        <w:t>автомобильных дорог общего пользования местного значения</w:t>
      </w:r>
      <w:r w:rsidRPr="002F2D48">
        <w:rPr>
          <w:sz w:val="26"/>
          <w:szCs w:val="26"/>
        </w:rPr>
        <w:t xml:space="preserve"> за счет средств дорожного фонда Красноярского края</w:t>
      </w:r>
      <w:r w:rsidR="00152E6B" w:rsidRPr="002F2D48">
        <w:rPr>
          <w:sz w:val="26"/>
          <w:szCs w:val="26"/>
        </w:rPr>
        <w:t>;</w:t>
      </w:r>
    </w:p>
    <w:p w:rsidR="004A7B42" w:rsidRPr="002F2D48" w:rsidRDefault="004A7B42" w:rsidP="004A7B4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D48">
        <w:rPr>
          <w:sz w:val="26"/>
          <w:szCs w:val="26"/>
        </w:rPr>
        <w:t xml:space="preserve">- «Жилищно-коммунальное хозяйство» </w:t>
      </w:r>
      <w:r w:rsidR="00A817C9" w:rsidRPr="002F2D48">
        <w:rPr>
          <w:sz w:val="26"/>
          <w:szCs w:val="26"/>
        </w:rPr>
        <w:t>на 33,70 % или 39 876,02</w:t>
      </w:r>
      <w:r w:rsidR="00A817C9" w:rsidRPr="002F2D48">
        <w:rPr>
          <w:sz w:val="20"/>
          <w:szCs w:val="20"/>
        </w:rPr>
        <w:t xml:space="preserve"> </w:t>
      </w:r>
      <w:r w:rsidRPr="002F2D48">
        <w:rPr>
          <w:sz w:val="26"/>
          <w:szCs w:val="26"/>
        </w:rPr>
        <w:t>тыс. руб. и в основном обусловлено увеличением</w:t>
      </w:r>
      <w:r w:rsidRPr="002F2D48">
        <w:rPr>
          <w:sz w:val="28"/>
          <w:szCs w:val="28"/>
        </w:rPr>
        <w:t xml:space="preserve"> </w:t>
      </w:r>
      <w:r w:rsidRPr="002F2D48">
        <w:rPr>
          <w:sz w:val="26"/>
          <w:szCs w:val="26"/>
        </w:rPr>
        <w:t>расходов</w:t>
      </w:r>
      <w:r w:rsidRPr="002F2D48">
        <w:rPr>
          <w:sz w:val="28"/>
          <w:szCs w:val="28"/>
        </w:rPr>
        <w:t xml:space="preserve"> </w:t>
      </w:r>
      <w:r w:rsidRPr="002F2D48">
        <w:rPr>
          <w:sz w:val="26"/>
          <w:szCs w:val="26"/>
        </w:rPr>
        <w:t xml:space="preserve">за счет иных межбюджетных трансфертов из </w:t>
      </w:r>
      <w:r w:rsidR="00A817C9" w:rsidRPr="002F2D48">
        <w:rPr>
          <w:sz w:val="26"/>
          <w:szCs w:val="26"/>
        </w:rPr>
        <w:t>бюджетов бюджетной системы РФ</w:t>
      </w:r>
      <w:r w:rsidRPr="002F2D48">
        <w:rPr>
          <w:sz w:val="26"/>
          <w:szCs w:val="26"/>
        </w:rPr>
        <w:t xml:space="preserve">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на финансирование (возмещение) затрат теплоснабжающих и энергосбытовых организаций, осуществляющих производство и (или) реализацию тепловой и электрической энергии на территории городского поселения</w:t>
      </w:r>
      <w:r w:rsidR="007F2B8E" w:rsidRPr="002F2D48">
        <w:rPr>
          <w:sz w:val="26"/>
          <w:szCs w:val="26"/>
        </w:rPr>
        <w:t>;</w:t>
      </w:r>
    </w:p>
    <w:p w:rsidR="00FB31F0" w:rsidRPr="002F2D48" w:rsidRDefault="00152E6B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- «</w:t>
      </w:r>
      <w:r w:rsidR="00544B8E" w:rsidRPr="002F2D48">
        <w:rPr>
          <w:sz w:val="26"/>
          <w:szCs w:val="26"/>
        </w:rPr>
        <w:t>Физическая культура и спорт</w:t>
      </w:r>
      <w:r w:rsidRPr="002F2D48">
        <w:rPr>
          <w:sz w:val="26"/>
          <w:szCs w:val="26"/>
        </w:rPr>
        <w:t>»</w:t>
      </w:r>
      <w:r w:rsidR="00544B8E" w:rsidRPr="002F2D48">
        <w:rPr>
          <w:sz w:val="26"/>
          <w:szCs w:val="26"/>
        </w:rPr>
        <w:t xml:space="preserve"> на 18,</w:t>
      </w:r>
      <w:r w:rsidRPr="002F2D48">
        <w:rPr>
          <w:sz w:val="26"/>
          <w:szCs w:val="26"/>
        </w:rPr>
        <w:t>9</w:t>
      </w:r>
      <w:r w:rsidR="00544B8E" w:rsidRPr="002F2D48">
        <w:rPr>
          <w:sz w:val="26"/>
          <w:szCs w:val="26"/>
        </w:rPr>
        <w:t>3</w:t>
      </w:r>
      <w:r w:rsidRPr="002F2D48">
        <w:rPr>
          <w:sz w:val="26"/>
          <w:szCs w:val="26"/>
        </w:rPr>
        <w:t xml:space="preserve"> % или </w:t>
      </w:r>
      <w:r w:rsidR="00544B8E" w:rsidRPr="002F2D48">
        <w:rPr>
          <w:sz w:val="26"/>
          <w:szCs w:val="26"/>
        </w:rPr>
        <w:t xml:space="preserve">12 681,99 </w:t>
      </w:r>
      <w:r w:rsidRPr="002F2D48">
        <w:rPr>
          <w:sz w:val="26"/>
          <w:szCs w:val="26"/>
        </w:rPr>
        <w:t>тыс. руб. и в основном обусловлено увеличением расходов за счет</w:t>
      </w:r>
      <w:r w:rsidR="007F2B8E" w:rsidRPr="002F2D48">
        <w:rPr>
          <w:sz w:val="26"/>
          <w:szCs w:val="26"/>
        </w:rPr>
        <w:t xml:space="preserve"> собственных доходов и</w:t>
      </w:r>
      <w:r w:rsidRPr="002F2D48">
        <w:rPr>
          <w:sz w:val="26"/>
          <w:szCs w:val="26"/>
        </w:rPr>
        <w:t xml:space="preserve"> </w:t>
      </w:r>
      <w:r w:rsidR="00D44780" w:rsidRPr="002F2D48">
        <w:rPr>
          <w:sz w:val="26"/>
          <w:szCs w:val="26"/>
        </w:rPr>
        <w:t xml:space="preserve">иных </w:t>
      </w:r>
      <w:r w:rsidR="00343A81" w:rsidRPr="002F2D48">
        <w:rPr>
          <w:sz w:val="26"/>
          <w:szCs w:val="26"/>
        </w:rPr>
        <w:t xml:space="preserve">межбюджетных трансфертов </w:t>
      </w:r>
      <w:r w:rsidRPr="002F2D48">
        <w:rPr>
          <w:sz w:val="26"/>
          <w:szCs w:val="26"/>
        </w:rPr>
        <w:t xml:space="preserve">из </w:t>
      </w:r>
      <w:r w:rsidR="007F2B8E" w:rsidRPr="002F2D48">
        <w:rPr>
          <w:sz w:val="26"/>
          <w:szCs w:val="26"/>
        </w:rPr>
        <w:t xml:space="preserve">бюджетов бюджетной системы РФ </w:t>
      </w:r>
      <w:r w:rsidR="00343A81" w:rsidRPr="002F2D48">
        <w:rPr>
          <w:sz w:val="26"/>
          <w:szCs w:val="26"/>
        </w:rPr>
        <w:t xml:space="preserve">на </w:t>
      </w:r>
      <w:r w:rsidR="007F2B8E" w:rsidRPr="002F2D48">
        <w:rPr>
          <w:sz w:val="26"/>
          <w:szCs w:val="26"/>
        </w:rPr>
        <w:t>реализацию мероприятий муниципальной программы «Развитие молодежной политики и спорта на территории муниципального образования «Город Дудинка».</w:t>
      </w:r>
    </w:p>
    <w:p w:rsidR="00454C20" w:rsidRPr="002F2D48" w:rsidRDefault="00454C20" w:rsidP="00454C20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Сравнительный анализ, </w:t>
      </w:r>
      <w:r w:rsidRPr="002F2D48">
        <w:rPr>
          <w:rFonts w:eastAsia="Calibri"/>
          <w:sz w:val="26"/>
          <w:szCs w:val="26"/>
        </w:rPr>
        <w:t xml:space="preserve">внесенных в </w:t>
      </w:r>
      <w:r w:rsidRPr="002F2D48">
        <w:rPr>
          <w:sz w:val="26"/>
          <w:szCs w:val="26"/>
        </w:rPr>
        <w:t xml:space="preserve">Решение о бюджете </w:t>
      </w:r>
      <w:r w:rsidR="000029D2" w:rsidRPr="002F2D48">
        <w:rPr>
          <w:sz w:val="26"/>
          <w:szCs w:val="26"/>
        </w:rPr>
        <w:t xml:space="preserve">№ </w:t>
      </w:r>
      <w:r w:rsidR="006B37A0" w:rsidRPr="002F2D48">
        <w:rPr>
          <w:sz w:val="26"/>
          <w:szCs w:val="26"/>
        </w:rPr>
        <w:t>01-0011</w:t>
      </w:r>
      <w:r w:rsidR="006B37A0" w:rsidRPr="002F2D48">
        <w:rPr>
          <w:b/>
          <w:sz w:val="20"/>
          <w:szCs w:val="20"/>
        </w:rPr>
        <w:t xml:space="preserve"> </w:t>
      </w:r>
      <w:r w:rsidRPr="002F2D48">
        <w:rPr>
          <w:rFonts w:eastAsia="Calibri"/>
          <w:sz w:val="26"/>
          <w:szCs w:val="26"/>
        </w:rPr>
        <w:t>изменений</w:t>
      </w:r>
      <w:r w:rsidRPr="002F2D48">
        <w:rPr>
          <w:sz w:val="26"/>
          <w:szCs w:val="26"/>
        </w:rPr>
        <w:t xml:space="preserve"> в расходы </w:t>
      </w:r>
      <w:r w:rsidR="000029D2" w:rsidRPr="002F2D48">
        <w:rPr>
          <w:sz w:val="26"/>
          <w:szCs w:val="26"/>
        </w:rPr>
        <w:t xml:space="preserve">городского </w:t>
      </w:r>
      <w:r w:rsidR="006B37A0" w:rsidRPr="002F2D48">
        <w:rPr>
          <w:sz w:val="26"/>
          <w:szCs w:val="26"/>
        </w:rPr>
        <w:t>бюджета на</w:t>
      </w:r>
      <w:r w:rsidRPr="002F2D48">
        <w:rPr>
          <w:sz w:val="26"/>
          <w:szCs w:val="26"/>
        </w:rPr>
        <w:t xml:space="preserve"> </w:t>
      </w:r>
      <w:r w:rsidR="006B37A0" w:rsidRPr="002F2D48">
        <w:rPr>
          <w:sz w:val="26"/>
          <w:szCs w:val="26"/>
        </w:rPr>
        <w:t>2019 год</w:t>
      </w:r>
      <w:r w:rsidRPr="002F2D48">
        <w:rPr>
          <w:sz w:val="26"/>
          <w:szCs w:val="26"/>
        </w:rPr>
        <w:t xml:space="preserve"> по разделам классификации расходов показал, что в основном изменения объемов расходов </w:t>
      </w:r>
      <w:r w:rsidR="000029D2" w:rsidRPr="002F2D48">
        <w:rPr>
          <w:sz w:val="26"/>
          <w:szCs w:val="26"/>
        </w:rPr>
        <w:t xml:space="preserve">городского бюджета осуществлялись </w:t>
      </w:r>
      <w:r w:rsidRPr="002F2D48">
        <w:rPr>
          <w:sz w:val="26"/>
          <w:szCs w:val="26"/>
        </w:rPr>
        <w:t xml:space="preserve">за счет межбюджетных трансфертов из краевого </w:t>
      </w:r>
      <w:r w:rsidR="000029D2" w:rsidRPr="002F2D48">
        <w:rPr>
          <w:sz w:val="26"/>
          <w:szCs w:val="26"/>
        </w:rPr>
        <w:t>и р</w:t>
      </w:r>
      <w:r w:rsidR="00F4157E" w:rsidRPr="002F2D48">
        <w:rPr>
          <w:sz w:val="26"/>
          <w:szCs w:val="26"/>
        </w:rPr>
        <w:t>айонного бюджетов и составили 33,12</w:t>
      </w:r>
      <w:r w:rsidRPr="002F2D48">
        <w:rPr>
          <w:sz w:val="26"/>
          <w:szCs w:val="26"/>
        </w:rPr>
        <w:t xml:space="preserve"> % от общего объема изменений </w:t>
      </w:r>
      <w:r w:rsidR="000029D2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бюджета. Изменения расходов </w:t>
      </w:r>
      <w:r w:rsidR="000029D2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за счет </w:t>
      </w:r>
      <w:r w:rsidR="000029D2" w:rsidRPr="002F2D48">
        <w:rPr>
          <w:sz w:val="26"/>
          <w:szCs w:val="26"/>
        </w:rPr>
        <w:t>собстве</w:t>
      </w:r>
      <w:r w:rsidR="00F4157E" w:rsidRPr="002F2D48">
        <w:rPr>
          <w:sz w:val="26"/>
          <w:szCs w:val="26"/>
        </w:rPr>
        <w:t>нных средств составили 8,07</w:t>
      </w:r>
      <w:r w:rsidR="000029D2" w:rsidRPr="002F2D48">
        <w:rPr>
          <w:sz w:val="26"/>
          <w:szCs w:val="26"/>
        </w:rPr>
        <w:t xml:space="preserve"> %</w:t>
      </w:r>
      <w:r w:rsidRPr="002F2D48">
        <w:rPr>
          <w:sz w:val="26"/>
          <w:szCs w:val="26"/>
        </w:rPr>
        <w:t>.</w:t>
      </w:r>
    </w:p>
    <w:p w:rsidR="00454C20" w:rsidRDefault="00454C20" w:rsidP="00454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sz w:val="26"/>
          <w:szCs w:val="26"/>
        </w:rPr>
        <w:t>Внесение изменений в сводную бюджетную роспись регулировалось положениями</w:t>
      </w:r>
      <w:r w:rsidR="000029D2" w:rsidRPr="002F2D48">
        <w:rPr>
          <w:sz w:val="26"/>
          <w:szCs w:val="26"/>
        </w:rPr>
        <w:t xml:space="preserve"> пункта 3 статьи </w:t>
      </w:r>
      <w:r w:rsidRPr="002F2D48">
        <w:rPr>
          <w:sz w:val="26"/>
          <w:szCs w:val="26"/>
        </w:rPr>
        <w:t xml:space="preserve">217 </w:t>
      </w:r>
      <w:r w:rsidRPr="002F2D48">
        <w:rPr>
          <w:rFonts w:eastAsia="Calibri"/>
          <w:sz w:val="26"/>
          <w:szCs w:val="26"/>
        </w:rPr>
        <w:t>БК РФ. С</w:t>
      </w:r>
      <w:r w:rsidR="006A56B3" w:rsidRPr="002F2D48">
        <w:rPr>
          <w:rFonts w:eastAsia="Calibri"/>
          <w:sz w:val="26"/>
          <w:szCs w:val="26"/>
        </w:rPr>
        <w:t xml:space="preserve"> учетом </w:t>
      </w:r>
      <w:r w:rsidRPr="002F2D48">
        <w:rPr>
          <w:rFonts w:eastAsia="Calibri"/>
          <w:sz w:val="26"/>
          <w:szCs w:val="26"/>
        </w:rPr>
        <w:t xml:space="preserve">изменений, расходы </w:t>
      </w:r>
      <w:r w:rsidR="000029D2" w:rsidRPr="002F2D48">
        <w:rPr>
          <w:rFonts w:eastAsia="Calibri"/>
          <w:sz w:val="26"/>
          <w:szCs w:val="26"/>
        </w:rPr>
        <w:t xml:space="preserve">городского </w:t>
      </w:r>
      <w:r w:rsidRPr="002F2D48">
        <w:rPr>
          <w:rFonts w:eastAsia="Calibri"/>
          <w:sz w:val="26"/>
          <w:szCs w:val="26"/>
        </w:rPr>
        <w:t>бюджета, утвержденные сводной бюджетной росписью, с учетом последующих изменений, оформленных в установленном порядке</w:t>
      </w:r>
      <w:r w:rsidR="00FC3DB8" w:rsidRPr="002F2D48">
        <w:rPr>
          <w:rFonts w:eastAsia="Calibri"/>
          <w:sz w:val="26"/>
          <w:szCs w:val="26"/>
        </w:rPr>
        <w:t xml:space="preserve"> на отчетную дату</w:t>
      </w:r>
      <w:r w:rsidRPr="002F2D48">
        <w:rPr>
          <w:rFonts w:eastAsia="Calibri"/>
          <w:sz w:val="26"/>
          <w:szCs w:val="26"/>
        </w:rPr>
        <w:t xml:space="preserve"> составили </w:t>
      </w:r>
      <w:r w:rsidR="0042182B" w:rsidRPr="002F2D48">
        <w:rPr>
          <w:sz w:val="26"/>
          <w:szCs w:val="26"/>
        </w:rPr>
        <w:t>963 895,48</w:t>
      </w:r>
      <w:r w:rsidR="000029D2" w:rsidRPr="002F2D48">
        <w:rPr>
          <w:rFonts w:eastAsia="Calibri"/>
          <w:sz w:val="26"/>
          <w:szCs w:val="26"/>
        </w:rPr>
        <w:t xml:space="preserve"> </w:t>
      </w:r>
      <w:r w:rsidR="006A56B3" w:rsidRPr="002F2D48">
        <w:rPr>
          <w:rFonts w:eastAsia="Calibri"/>
          <w:sz w:val="26"/>
          <w:szCs w:val="26"/>
        </w:rPr>
        <w:t>тыс</w:t>
      </w:r>
      <w:r w:rsidR="00FC3DB8" w:rsidRPr="002F2D48">
        <w:rPr>
          <w:rFonts w:eastAsia="Calibri"/>
          <w:sz w:val="26"/>
          <w:szCs w:val="26"/>
        </w:rPr>
        <w:t xml:space="preserve">. руб., что </w:t>
      </w:r>
      <w:r w:rsidR="0042182B" w:rsidRPr="002F2D48">
        <w:rPr>
          <w:rFonts w:eastAsia="Calibri"/>
          <w:sz w:val="26"/>
          <w:szCs w:val="26"/>
        </w:rPr>
        <w:t>соответствует общему объему</w:t>
      </w:r>
      <w:r w:rsidRPr="002F2D48">
        <w:rPr>
          <w:rFonts w:eastAsia="Calibri"/>
          <w:sz w:val="26"/>
          <w:szCs w:val="26"/>
        </w:rPr>
        <w:t xml:space="preserve"> расходов </w:t>
      </w:r>
      <w:r w:rsidR="006A56B3" w:rsidRPr="002F2D48">
        <w:rPr>
          <w:rFonts w:eastAsia="Calibri"/>
          <w:sz w:val="26"/>
          <w:szCs w:val="26"/>
        </w:rPr>
        <w:t xml:space="preserve">городского </w:t>
      </w:r>
      <w:r w:rsidRPr="002F2D48">
        <w:rPr>
          <w:rFonts w:eastAsia="Calibri"/>
          <w:sz w:val="26"/>
          <w:szCs w:val="26"/>
        </w:rPr>
        <w:t xml:space="preserve">бюджета, </w:t>
      </w:r>
      <w:r w:rsidR="006A56B3" w:rsidRPr="002F2D48">
        <w:rPr>
          <w:rFonts w:eastAsia="Calibri"/>
          <w:sz w:val="26"/>
          <w:szCs w:val="26"/>
        </w:rPr>
        <w:t>утвержде</w:t>
      </w:r>
      <w:r w:rsidR="0042182B" w:rsidRPr="002F2D48">
        <w:rPr>
          <w:rFonts w:eastAsia="Calibri"/>
          <w:sz w:val="26"/>
          <w:szCs w:val="26"/>
        </w:rPr>
        <w:t>нного Решением о бюджете на 2019</w:t>
      </w:r>
      <w:r w:rsidR="006A56B3" w:rsidRPr="002F2D48">
        <w:rPr>
          <w:rFonts w:eastAsia="Calibri"/>
          <w:sz w:val="26"/>
          <w:szCs w:val="26"/>
        </w:rPr>
        <w:t xml:space="preserve"> год. </w:t>
      </w:r>
    </w:p>
    <w:p w:rsidR="0062127B" w:rsidRPr="002F2D48" w:rsidRDefault="0062127B" w:rsidP="00454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458BA" w:rsidRPr="002F2D48" w:rsidRDefault="009458BA" w:rsidP="00A65BA8">
      <w:pPr>
        <w:spacing w:line="252" w:lineRule="auto"/>
        <w:jc w:val="center"/>
        <w:rPr>
          <w:b/>
          <w:bCs/>
          <w:sz w:val="16"/>
          <w:szCs w:val="16"/>
        </w:rPr>
      </w:pPr>
    </w:p>
    <w:p w:rsidR="00955CF7" w:rsidRPr="002F2D48" w:rsidRDefault="006A56B3" w:rsidP="00125C7A">
      <w:pPr>
        <w:pStyle w:val="af8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t xml:space="preserve">Анализ исполнение расходов </w:t>
      </w:r>
      <w:r w:rsidR="00955CF7" w:rsidRPr="002F2D48">
        <w:rPr>
          <w:b/>
          <w:bCs/>
          <w:sz w:val="26"/>
          <w:szCs w:val="26"/>
        </w:rPr>
        <w:t xml:space="preserve">городского </w:t>
      </w:r>
      <w:r w:rsidRPr="002F2D48">
        <w:rPr>
          <w:b/>
          <w:bCs/>
          <w:sz w:val="26"/>
          <w:szCs w:val="26"/>
        </w:rPr>
        <w:t>бюджета</w:t>
      </w:r>
    </w:p>
    <w:p w:rsidR="006A56B3" w:rsidRPr="002F2D48" w:rsidRDefault="006A56B3" w:rsidP="00125C7A">
      <w:pPr>
        <w:pStyle w:val="af8"/>
        <w:autoSpaceDE w:val="0"/>
        <w:autoSpaceDN w:val="0"/>
        <w:adjustRightInd w:val="0"/>
        <w:ind w:left="2160"/>
        <w:jc w:val="both"/>
        <w:rPr>
          <w:b/>
          <w:bCs/>
          <w:sz w:val="16"/>
          <w:szCs w:val="16"/>
        </w:rPr>
      </w:pPr>
      <w:r w:rsidRPr="002F2D48">
        <w:rPr>
          <w:b/>
          <w:bCs/>
          <w:sz w:val="26"/>
          <w:szCs w:val="26"/>
        </w:rPr>
        <w:t xml:space="preserve"> 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Кассовые расходы городского бюджета по сравнению с показателями сводной бюджетной росписи исполнены </w:t>
      </w:r>
      <w:r w:rsidR="00E3573A" w:rsidRPr="002F2D48">
        <w:rPr>
          <w:sz w:val="26"/>
          <w:szCs w:val="26"/>
        </w:rPr>
        <w:t>на 945 640,</w:t>
      </w:r>
      <w:r w:rsidRPr="002F2D48">
        <w:rPr>
          <w:sz w:val="26"/>
          <w:szCs w:val="26"/>
        </w:rPr>
        <w:t>7</w:t>
      </w:r>
      <w:r w:rsidR="00E3573A" w:rsidRPr="002F2D48">
        <w:rPr>
          <w:sz w:val="26"/>
          <w:szCs w:val="26"/>
        </w:rPr>
        <w:t>2</w:t>
      </w:r>
      <w:r w:rsidRPr="002F2D48">
        <w:rPr>
          <w:sz w:val="26"/>
          <w:szCs w:val="26"/>
        </w:rPr>
        <w:t xml:space="preserve"> тыс. руб. или </w:t>
      </w:r>
      <w:r w:rsidR="00E3573A" w:rsidRPr="002F2D48">
        <w:rPr>
          <w:sz w:val="26"/>
          <w:szCs w:val="26"/>
        </w:rPr>
        <w:t>98,11</w:t>
      </w:r>
      <w:r w:rsidRPr="002F2D48">
        <w:rPr>
          <w:sz w:val="26"/>
          <w:szCs w:val="26"/>
        </w:rPr>
        <w:t xml:space="preserve"> %, в том числе: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- по программ</w:t>
      </w:r>
      <w:r w:rsidR="00A23F7C" w:rsidRPr="002F2D48">
        <w:rPr>
          <w:sz w:val="26"/>
          <w:szCs w:val="26"/>
        </w:rPr>
        <w:t xml:space="preserve">ным расходам - на сумму </w:t>
      </w:r>
      <w:r w:rsidR="00E3573A" w:rsidRPr="002F2D48">
        <w:rPr>
          <w:sz w:val="26"/>
          <w:szCs w:val="26"/>
        </w:rPr>
        <w:t>708 493,46</w:t>
      </w:r>
      <w:r w:rsidR="00D84DAD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тыс. руб. (</w:t>
      </w:r>
      <w:r w:rsidR="00E3573A" w:rsidRPr="002F2D48">
        <w:rPr>
          <w:sz w:val="26"/>
          <w:szCs w:val="26"/>
        </w:rPr>
        <w:t>74,92</w:t>
      </w:r>
      <w:r w:rsidRPr="002F2D48">
        <w:rPr>
          <w:sz w:val="26"/>
          <w:szCs w:val="26"/>
        </w:rPr>
        <w:t xml:space="preserve"> %);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- по непрограммным расходам - на сумму </w:t>
      </w:r>
      <w:r w:rsidR="00E3573A" w:rsidRPr="002F2D48">
        <w:rPr>
          <w:sz w:val="26"/>
          <w:szCs w:val="26"/>
        </w:rPr>
        <w:t>237 147,26</w:t>
      </w:r>
      <w:r w:rsidRPr="002F2D48">
        <w:rPr>
          <w:sz w:val="26"/>
          <w:szCs w:val="26"/>
        </w:rPr>
        <w:t xml:space="preserve"> тыс. руб. (</w:t>
      </w:r>
      <w:r w:rsidR="006F170F" w:rsidRPr="002F2D48">
        <w:rPr>
          <w:sz w:val="26"/>
          <w:szCs w:val="26"/>
        </w:rPr>
        <w:t>25,08</w:t>
      </w:r>
      <w:r w:rsidRPr="002F2D48">
        <w:rPr>
          <w:sz w:val="26"/>
          <w:szCs w:val="26"/>
        </w:rPr>
        <w:t xml:space="preserve"> %).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Данные об исполнении кассовых расходов по сравнению с показателями, установленными сводной бюджетной росписью по разделам классификации расходов, представлены в таблице</w:t>
      </w:r>
      <w:r w:rsidR="00035595" w:rsidRPr="002F2D48">
        <w:rPr>
          <w:sz w:val="26"/>
          <w:szCs w:val="26"/>
        </w:rPr>
        <w:t xml:space="preserve"> 3</w:t>
      </w:r>
      <w:r w:rsidRPr="002F2D48">
        <w:rPr>
          <w:sz w:val="26"/>
          <w:szCs w:val="26"/>
        </w:rPr>
        <w:t>.</w:t>
      </w:r>
    </w:p>
    <w:p w:rsidR="00035595" w:rsidRPr="002F2D48" w:rsidRDefault="00AB00BC" w:rsidP="00035595">
      <w:pPr>
        <w:spacing w:line="276" w:lineRule="auto"/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>Таблица</w:t>
      </w:r>
      <w:r w:rsidR="00035595" w:rsidRPr="002F2D48">
        <w:rPr>
          <w:sz w:val="26"/>
          <w:szCs w:val="26"/>
        </w:rPr>
        <w:t xml:space="preserve">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1701"/>
        <w:gridCol w:w="1701"/>
        <w:gridCol w:w="1418"/>
        <w:gridCol w:w="1275"/>
      </w:tblGrid>
      <w:tr w:rsidR="00035595" w:rsidRPr="002F2D48" w:rsidTr="00A56058">
        <w:trPr>
          <w:trHeight w:val="53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vMerge w:val="restart"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Р</w:t>
            </w:r>
            <w:r w:rsidRPr="002F2D48">
              <w:rPr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5595" w:rsidRPr="002F2D48" w:rsidRDefault="006F170F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П</w:t>
            </w:r>
            <w:r w:rsidR="00035595" w:rsidRPr="002F2D48">
              <w:rPr>
                <w:b/>
                <w:bCs/>
                <w:sz w:val="20"/>
                <w:szCs w:val="20"/>
              </w:rPr>
              <w:t xml:space="preserve">лановые </w:t>
            </w:r>
            <w:r w:rsidR="008E3DDF" w:rsidRPr="002F2D48">
              <w:rPr>
                <w:b/>
                <w:bCs/>
                <w:sz w:val="20"/>
                <w:szCs w:val="20"/>
              </w:rPr>
              <w:t xml:space="preserve">ассигнования </w:t>
            </w:r>
            <w:r w:rsidR="00035595" w:rsidRPr="002F2D48">
              <w:rPr>
                <w:b/>
                <w:bCs/>
                <w:sz w:val="20"/>
                <w:szCs w:val="20"/>
              </w:rPr>
              <w:t xml:space="preserve">по бюджетной росписи     </w:t>
            </w:r>
          </w:p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   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Кассовое исполнение                                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5595" w:rsidRPr="002F2D48" w:rsidRDefault="00572478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отклонение               (гр.2-гр.1</w:t>
            </w:r>
            <w:r w:rsidR="00035595" w:rsidRPr="002F2D48">
              <w:rPr>
                <w:b/>
                <w:bCs/>
                <w:sz w:val="20"/>
                <w:szCs w:val="20"/>
              </w:rPr>
              <w:t>)</w:t>
            </w:r>
            <w:r w:rsidR="00E51ECA" w:rsidRPr="002F2D48">
              <w:rPr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5595" w:rsidRPr="002F2D48" w:rsidRDefault="00035595" w:rsidP="00B8790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% исполнения</w:t>
            </w:r>
          </w:p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95" w:rsidRPr="002F2D48" w:rsidTr="00A56058">
        <w:trPr>
          <w:trHeight w:val="818"/>
        </w:trPr>
        <w:tc>
          <w:tcPr>
            <w:tcW w:w="3544" w:type="dxa"/>
            <w:vMerge/>
            <w:vAlign w:val="center"/>
            <w:hideMark/>
          </w:tcPr>
          <w:p w:rsidR="00035595" w:rsidRPr="002F2D48" w:rsidRDefault="00035595" w:rsidP="00BC3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5595" w:rsidRPr="002F2D48" w:rsidRDefault="00035595" w:rsidP="00BC3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5595" w:rsidRPr="002F2D48" w:rsidRDefault="00035595" w:rsidP="00BC3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5595" w:rsidRPr="002F2D48" w:rsidRDefault="00035595" w:rsidP="00BC3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95" w:rsidRPr="002F2D48" w:rsidTr="00A56058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35595" w:rsidRPr="002F2D48" w:rsidTr="00A56058">
        <w:trPr>
          <w:trHeight w:val="268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0B033D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198 712,35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196 744,39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-1 967,96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99,01</w:t>
            </w:r>
          </w:p>
        </w:tc>
      </w:tr>
      <w:tr w:rsidR="00035595" w:rsidRPr="002F2D48" w:rsidTr="00A56058">
        <w:trPr>
          <w:trHeight w:val="262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0B033D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7 019,33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A7071E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7 019,33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A56058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</w:tr>
      <w:tr w:rsidR="00035595" w:rsidRPr="002F2D48" w:rsidTr="00A56058">
        <w:trPr>
          <w:trHeight w:val="447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</w:p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2 096,69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1 490,28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-606,41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71,08</w:t>
            </w:r>
          </w:p>
        </w:tc>
      </w:tr>
      <w:tr w:rsidR="00035595" w:rsidRPr="002F2D48" w:rsidTr="00A56058">
        <w:trPr>
          <w:trHeight w:val="243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112 845,10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112 709,71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-135,39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99,88</w:t>
            </w:r>
          </w:p>
        </w:tc>
      </w:tr>
      <w:tr w:rsidR="00035595" w:rsidRPr="002F2D48" w:rsidTr="00A56058">
        <w:trPr>
          <w:trHeight w:val="234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158 214,23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142 889,89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-15</w:t>
            </w:r>
            <w:r w:rsidR="00A7071E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324</w:t>
            </w:r>
            <w:r w:rsidR="00A7071E" w:rsidRPr="002F2D48">
              <w:rPr>
                <w:sz w:val="20"/>
                <w:szCs w:val="20"/>
              </w:rPr>
              <w:t>, 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90,31</w:t>
            </w:r>
          </w:p>
        </w:tc>
      </w:tr>
      <w:tr w:rsidR="00035595" w:rsidRPr="002F2D48" w:rsidTr="00A56058">
        <w:trPr>
          <w:trHeight w:val="219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76 090,76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76 082,65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-8</w:t>
            </w:r>
            <w:r w:rsidR="00A7071E" w:rsidRPr="002F2D48">
              <w:rPr>
                <w:sz w:val="20"/>
                <w:szCs w:val="20"/>
              </w:rPr>
              <w:t>,11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99,99</w:t>
            </w:r>
          </w:p>
        </w:tc>
      </w:tr>
      <w:tr w:rsidR="00035595" w:rsidRPr="002F2D48" w:rsidTr="00A56058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Культура и кинематография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270 544,45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270 331,89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-212,56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1418A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99,92</w:t>
            </w:r>
          </w:p>
        </w:tc>
      </w:tr>
      <w:tr w:rsidR="00035595" w:rsidRPr="002F2D48" w:rsidTr="00A56058">
        <w:trPr>
          <w:trHeight w:val="281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5 586,14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5 586,14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A56058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</w:tr>
      <w:tr w:rsidR="00035595" w:rsidRPr="002F2D48" w:rsidTr="00A56058">
        <w:trPr>
          <w:trHeight w:val="235"/>
        </w:trPr>
        <w:tc>
          <w:tcPr>
            <w:tcW w:w="3544" w:type="dxa"/>
            <w:shd w:val="clear" w:color="auto" w:fill="auto"/>
          </w:tcPr>
          <w:p w:rsidR="00035595" w:rsidRPr="002F2D48" w:rsidRDefault="00035595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Физическая культура и спорт</w:t>
            </w:r>
            <w:r w:rsidRPr="002F2D48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79 668,82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79 668 82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A56058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</w:tr>
      <w:tr w:rsidR="00035595" w:rsidRPr="002F2D48" w:rsidTr="00A56058">
        <w:trPr>
          <w:trHeight w:val="307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72,11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72</w:t>
            </w:r>
            <w:r w:rsidR="00A7071E" w:rsidRPr="002F2D48">
              <w:rPr>
                <w:sz w:val="20"/>
                <w:szCs w:val="20"/>
              </w:rPr>
              <w:t>,11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A56058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</w:tr>
      <w:tr w:rsidR="00035595" w:rsidRPr="002F2D48" w:rsidTr="00A56058">
        <w:trPr>
          <w:trHeight w:val="276"/>
        </w:trPr>
        <w:tc>
          <w:tcPr>
            <w:tcW w:w="3544" w:type="dxa"/>
            <w:shd w:val="clear" w:color="auto" w:fill="auto"/>
            <w:hideMark/>
          </w:tcPr>
          <w:p w:rsidR="00035595" w:rsidRPr="002F2D48" w:rsidRDefault="00035595" w:rsidP="000941E6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Межбюджетные трансферты</w:t>
            </w:r>
            <w:r w:rsidR="000941E6" w:rsidRPr="002F2D48">
              <w:rPr>
                <w:bCs/>
                <w:sz w:val="20"/>
                <w:szCs w:val="20"/>
              </w:rPr>
              <w:t xml:space="preserve"> общего характера </w:t>
            </w:r>
            <w:r w:rsidRPr="002F2D48">
              <w:rPr>
                <w:bCs/>
                <w:sz w:val="20"/>
                <w:szCs w:val="20"/>
              </w:rPr>
              <w:t xml:space="preserve">бюджетам </w:t>
            </w:r>
            <w:r w:rsidR="000941E6" w:rsidRPr="002F2D48">
              <w:rPr>
                <w:bCs/>
                <w:sz w:val="20"/>
                <w:szCs w:val="20"/>
              </w:rPr>
              <w:t xml:space="preserve">бюджетной системы </w:t>
            </w:r>
            <w:r w:rsidRPr="002F2D48">
              <w:rPr>
                <w:bCs/>
                <w:sz w:val="20"/>
                <w:szCs w:val="20"/>
              </w:rPr>
              <w:t xml:space="preserve">РФ 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</w:p>
          <w:p w:rsidR="00035595" w:rsidRPr="002F2D48" w:rsidRDefault="00035595" w:rsidP="00BC3C31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B85876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53 045,50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5595" w:rsidRPr="002F2D48" w:rsidRDefault="00A7071E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53 045,50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5595" w:rsidRPr="002F2D48" w:rsidRDefault="00EC1B6B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5595" w:rsidRPr="002F2D48" w:rsidRDefault="00276332" w:rsidP="00BC3C3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</w:tr>
      <w:tr w:rsidR="00035595" w:rsidRPr="002F2D48" w:rsidTr="00A56058">
        <w:trPr>
          <w:trHeight w:val="301"/>
        </w:trPr>
        <w:tc>
          <w:tcPr>
            <w:tcW w:w="3544" w:type="dxa"/>
            <w:shd w:val="clear" w:color="auto" w:fill="auto"/>
            <w:vAlign w:val="bottom"/>
            <w:hideMark/>
          </w:tcPr>
          <w:p w:rsidR="00035595" w:rsidRPr="002F2D48" w:rsidRDefault="00035595" w:rsidP="00BC3C31">
            <w:pPr>
              <w:rPr>
                <w:b/>
                <w:bCs/>
              </w:rPr>
            </w:pPr>
            <w:r w:rsidRPr="002F2D48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35595" w:rsidRPr="002F2D48" w:rsidRDefault="00B85876" w:rsidP="00BC3C31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963 895,48</w:t>
            </w:r>
          </w:p>
        </w:tc>
        <w:tc>
          <w:tcPr>
            <w:tcW w:w="1701" w:type="dxa"/>
            <w:shd w:val="clear" w:color="auto" w:fill="auto"/>
            <w:noWrap/>
          </w:tcPr>
          <w:p w:rsidR="00035595" w:rsidRPr="002F2D48" w:rsidRDefault="00A7071E" w:rsidP="00BC3C31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945 640,72</w:t>
            </w:r>
          </w:p>
        </w:tc>
        <w:tc>
          <w:tcPr>
            <w:tcW w:w="1418" w:type="dxa"/>
            <w:shd w:val="clear" w:color="auto" w:fill="auto"/>
            <w:noWrap/>
          </w:tcPr>
          <w:p w:rsidR="00035595" w:rsidRPr="002F2D48" w:rsidRDefault="00EC1B6B" w:rsidP="00BC3C31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-18</w:t>
            </w:r>
            <w:r w:rsidR="00A7071E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254</w:t>
            </w:r>
            <w:r w:rsidR="00A7071E" w:rsidRPr="002F2D48">
              <w:rPr>
                <w:sz w:val="20"/>
                <w:szCs w:val="20"/>
              </w:rPr>
              <w:t>,76</w:t>
            </w:r>
          </w:p>
        </w:tc>
        <w:tc>
          <w:tcPr>
            <w:tcW w:w="1275" w:type="dxa"/>
            <w:shd w:val="clear" w:color="auto" w:fill="auto"/>
            <w:noWrap/>
          </w:tcPr>
          <w:p w:rsidR="00035595" w:rsidRPr="002F2D48" w:rsidRDefault="001418A6" w:rsidP="00BC3C31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98,11</w:t>
            </w:r>
          </w:p>
        </w:tc>
      </w:tr>
    </w:tbl>
    <w:p w:rsidR="00680F29" w:rsidRPr="002F2D48" w:rsidRDefault="00680F29" w:rsidP="00A51FD9">
      <w:pPr>
        <w:spacing w:line="276" w:lineRule="auto"/>
        <w:ind w:firstLine="720"/>
        <w:jc w:val="both"/>
        <w:rPr>
          <w:sz w:val="16"/>
          <w:szCs w:val="16"/>
        </w:rPr>
      </w:pPr>
    </w:p>
    <w:p w:rsidR="00B671E6" w:rsidRPr="002F2D48" w:rsidRDefault="00B671E6" w:rsidP="00A51FD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Общий объем </w:t>
      </w:r>
      <w:r w:rsidRPr="00D84052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бюджетных ассигнований, установленных сводной бюджетной росписью, составил 1</w:t>
      </w:r>
      <w:r w:rsidR="00720B7A" w:rsidRPr="002F2D48">
        <w:rPr>
          <w:sz w:val="26"/>
          <w:szCs w:val="26"/>
        </w:rPr>
        <w:t>8 254,76 тыс. руб. или 1,89 %, что на 0,05 процентных пункта больше</w:t>
      </w:r>
      <w:r w:rsidRPr="002F2D48">
        <w:rPr>
          <w:sz w:val="26"/>
          <w:szCs w:val="26"/>
        </w:rPr>
        <w:t xml:space="preserve"> неисполнения расходов городского </w:t>
      </w:r>
      <w:r w:rsidR="00720B7A" w:rsidRPr="002F2D48">
        <w:rPr>
          <w:sz w:val="26"/>
          <w:szCs w:val="26"/>
        </w:rPr>
        <w:t>бюджета в 2018</w:t>
      </w:r>
      <w:r w:rsidRPr="002F2D48">
        <w:rPr>
          <w:sz w:val="26"/>
          <w:szCs w:val="26"/>
        </w:rPr>
        <w:t xml:space="preserve"> году.</w:t>
      </w:r>
    </w:p>
    <w:p w:rsidR="00B9370F" w:rsidRPr="002F2D48" w:rsidRDefault="00B9370F" w:rsidP="00A51FD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При этом</w:t>
      </w:r>
      <w:r w:rsidR="00B92B62" w:rsidRPr="002F2D48">
        <w:rPr>
          <w:sz w:val="26"/>
          <w:szCs w:val="26"/>
        </w:rPr>
        <w:t>,</w:t>
      </w:r>
      <w:r w:rsidRPr="002F2D48">
        <w:rPr>
          <w:sz w:val="26"/>
          <w:szCs w:val="26"/>
        </w:rPr>
        <w:t xml:space="preserve"> неисполнение</w:t>
      </w:r>
      <w:r w:rsidR="00A51FD9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в основном сложилось из расходов на </w:t>
      </w:r>
      <w:r w:rsidR="00495060" w:rsidRPr="002F2D48">
        <w:rPr>
          <w:sz w:val="26"/>
          <w:szCs w:val="26"/>
        </w:rPr>
        <w:t xml:space="preserve">жилищно-коммунальное хозяйство – 15 324,34 тыс. руб. и </w:t>
      </w:r>
      <w:r w:rsidRPr="002F2D48">
        <w:rPr>
          <w:sz w:val="26"/>
          <w:szCs w:val="26"/>
        </w:rPr>
        <w:t>общегосударс</w:t>
      </w:r>
      <w:r w:rsidR="00A51FD9" w:rsidRPr="002F2D48">
        <w:rPr>
          <w:sz w:val="26"/>
          <w:szCs w:val="26"/>
        </w:rPr>
        <w:t xml:space="preserve">твенные вопросы – </w:t>
      </w:r>
      <w:r w:rsidR="00495060" w:rsidRPr="002F2D48">
        <w:rPr>
          <w:sz w:val="26"/>
          <w:szCs w:val="26"/>
        </w:rPr>
        <w:t>1 967,96 тыс. руб.</w:t>
      </w:r>
    </w:p>
    <w:p w:rsidR="00B9370F" w:rsidRPr="002F2D48" w:rsidRDefault="00B9370F" w:rsidP="0097798D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Основными причинами, определившими </w:t>
      </w:r>
      <w:r w:rsidR="00B92B62" w:rsidRPr="002F2D48">
        <w:rPr>
          <w:sz w:val="26"/>
          <w:szCs w:val="26"/>
        </w:rPr>
        <w:t>не</w:t>
      </w:r>
      <w:r w:rsidR="003E2E4E" w:rsidRPr="002F2D48">
        <w:rPr>
          <w:sz w:val="26"/>
          <w:szCs w:val="26"/>
        </w:rPr>
        <w:t xml:space="preserve"> </w:t>
      </w:r>
      <w:r w:rsidR="00B92B62" w:rsidRPr="002F2D48">
        <w:rPr>
          <w:sz w:val="26"/>
          <w:szCs w:val="26"/>
        </w:rPr>
        <w:t xml:space="preserve">освоение </w:t>
      </w:r>
      <w:r w:rsidRPr="002F2D48">
        <w:rPr>
          <w:sz w:val="26"/>
          <w:szCs w:val="26"/>
        </w:rPr>
        <w:t xml:space="preserve">бюджетных </w:t>
      </w:r>
      <w:r w:rsidR="00A63B70" w:rsidRPr="002F2D48">
        <w:rPr>
          <w:sz w:val="26"/>
          <w:szCs w:val="26"/>
        </w:rPr>
        <w:t xml:space="preserve">ассигнований </w:t>
      </w:r>
      <w:r w:rsidRPr="002F2D48">
        <w:rPr>
          <w:sz w:val="26"/>
          <w:szCs w:val="26"/>
        </w:rPr>
        <w:t>в полном объеме по вышеук</w:t>
      </w:r>
      <w:r w:rsidR="00B92B62" w:rsidRPr="002F2D48">
        <w:rPr>
          <w:sz w:val="26"/>
          <w:szCs w:val="26"/>
        </w:rPr>
        <w:t>азанным разделам расходов стали:</w:t>
      </w:r>
    </w:p>
    <w:p w:rsidR="009E32E5" w:rsidRPr="002F2D48" w:rsidRDefault="00B92B62" w:rsidP="009E32E5">
      <w:pPr>
        <w:tabs>
          <w:tab w:val="left" w:pos="720"/>
        </w:tabs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2F2D48">
        <w:rPr>
          <w:sz w:val="26"/>
          <w:szCs w:val="26"/>
        </w:rPr>
        <w:t>-</w:t>
      </w:r>
      <w:r w:rsidR="00B83996" w:rsidRPr="002F2D48">
        <w:rPr>
          <w:sz w:val="26"/>
          <w:szCs w:val="26"/>
        </w:rPr>
        <w:t xml:space="preserve"> </w:t>
      </w:r>
      <w:r w:rsidR="00F54BC4" w:rsidRPr="002F2D48">
        <w:rPr>
          <w:sz w:val="26"/>
          <w:szCs w:val="26"/>
        </w:rPr>
        <w:t>неисполнение</w:t>
      </w:r>
      <w:r w:rsidR="00B83996" w:rsidRPr="002F2D48">
        <w:rPr>
          <w:sz w:val="26"/>
          <w:szCs w:val="26"/>
        </w:rPr>
        <w:t xml:space="preserve"> расходов на </w:t>
      </w:r>
      <w:r w:rsidR="00F54BC4" w:rsidRPr="002F2D48">
        <w:rPr>
          <w:sz w:val="26"/>
          <w:szCs w:val="26"/>
        </w:rPr>
        <w:t>инженерные изыскания</w:t>
      </w:r>
      <w:r w:rsidR="00B83996" w:rsidRPr="002F2D48">
        <w:rPr>
          <w:sz w:val="26"/>
          <w:szCs w:val="26"/>
        </w:rPr>
        <w:t xml:space="preserve"> по объекту «Водоотводная (нагорная) канава вдоль ж/д ветки на Дудинскую нефтебазу», на оборудование площадок для установки мусорных контейнеров, на замену электрической проводки 1-го подъезда жилого дома по ул. Островского д. №8, корп. "А", в связи с длительной процедурой согласования и заключения МК,</w:t>
      </w:r>
      <w:r w:rsidR="009E32E5" w:rsidRPr="002F2D48">
        <w:rPr>
          <w:sz w:val="26"/>
          <w:szCs w:val="26"/>
        </w:rPr>
        <w:t xml:space="preserve"> по субсидии на возмещение части затрат по представлению банных услуг населению, в связи с пожаром бани в п. Усть-Авам, в связи с экономией в результате проведения конкурсных процедур при заключении муниципальных контракт</w:t>
      </w:r>
      <w:r w:rsidR="00F578B2" w:rsidRPr="002F2D48">
        <w:rPr>
          <w:sz w:val="26"/>
          <w:szCs w:val="26"/>
        </w:rPr>
        <w:t>ов и по факту выполненных работ;</w:t>
      </w:r>
    </w:p>
    <w:p w:rsidR="00B83996" w:rsidRPr="002F2D48" w:rsidRDefault="00B83996" w:rsidP="00B83996">
      <w:pPr>
        <w:pStyle w:val="af8"/>
        <w:spacing w:line="276" w:lineRule="auto"/>
        <w:ind w:left="0"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экономия средств по </w:t>
      </w:r>
      <w:r w:rsidR="00F54BC4" w:rsidRPr="002F2D48">
        <w:rPr>
          <w:sz w:val="26"/>
          <w:szCs w:val="26"/>
        </w:rPr>
        <w:t xml:space="preserve">расходам на обеспечение деятельности Городского Совета, Администрации города, Комитета по обеспечению деятельности органов местного самоуправления, Городского Финансового комитета </w:t>
      </w:r>
      <w:r w:rsidR="00F578B2" w:rsidRPr="002F2D48">
        <w:rPr>
          <w:sz w:val="26"/>
          <w:szCs w:val="26"/>
        </w:rPr>
        <w:t>(</w:t>
      </w:r>
      <w:r w:rsidR="00F54BC4" w:rsidRPr="002F2D48">
        <w:rPr>
          <w:sz w:val="26"/>
          <w:szCs w:val="26"/>
        </w:rPr>
        <w:t>фактические объемы потребления товаров, выполненных работ, оказанных услуг оказались ниже запланированных</w:t>
      </w:r>
      <w:r w:rsidR="00F578B2" w:rsidRPr="002F2D48">
        <w:rPr>
          <w:sz w:val="26"/>
          <w:szCs w:val="26"/>
        </w:rPr>
        <w:t>)</w:t>
      </w:r>
      <w:r w:rsidR="00F54BC4" w:rsidRPr="002F2D48">
        <w:rPr>
          <w:sz w:val="26"/>
          <w:szCs w:val="26"/>
        </w:rPr>
        <w:t xml:space="preserve">, экономия расходам на реализацию мероприятий в области землеустройства, землепользования и управления муниципальной собственностью </w:t>
      </w:r>
      <w:r w:rsidR="00F578B2" w:rsidRPr="002F2D48">
        <w:rPr>
          <w:sz w:val="26"/>
          <w:szCs w:val="26"/>
        </w:rPr>
        <w:t>из-за длительности проведения конкурсных процедур,</w:t>
      </w:r>
      <w:r w:rsidRPr="002F2D48">
        <w:rPr>
          <w:sz w:val="26"/>
          <w:szCs w:val="26"/>
        </w:rPr>
        <w:t xml:space="preserve"> а также</w:t>
      </w:r>
      <w:r w:rsidR="009E32E5" w:rsidRPr="002F2D48">
        <w:rPr>
          <w:sz w:val="26"/>
          <w:szCs w:val="26"/>
        </w:rPr>
        <w:t xml:space="preserve"> не востребованность в отчетном периоде средств резервного фонда</w:t>
      </w:r>
      <w:r w:rsidR="00F578B2" w:rsidRPr="002F2D48">
        <w:rPr>
          <w:sz w:val="26"/>
          <w:szCs w:val="26"/>
        </w:rPr>
        <w:t>.</w:t>
      </w:r>
      <w:r w:rsidRPr="002F2D48">
        <w:rPr>
          <w:sz w:val="26"/>
          <w:szCs w:val="26"/>
        </w:rPr>
        <w:t xml:space="preserve"> </w:t>
      </w:r>
    </w:p>
    <w:p w:rsidR="008A1CD9" w:rsidRPr="002F2D48" w:rsidRDefault="0030092F" w:rsidP="00BC1AC7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Анализ исполненных </w:t>
      </w:r>
      <w:r w:rsidR="00A31D0F" w:rsidRPr="002F2D48">
        <w:rPr>
          <w:sz w:val="26"/>
          <w:szCs w:val="26"/>
        </w:rPr>
        <w:t>расходов городского бюджета показал, что в отчетном финансовом году</w:t>
      </w:r>
      <w:r w:rsidR="00DF34F0" w:rsidRPr="002F2D48">
        <w:rPr>
          <w:sz w:val="26"/>
          <w:szCs w:val="26"/>
        </w:rPr>
        <w:t xml:space="preserve"> сохранялась социальная направ</w:t>
      </w:r>
      <w:r w:rsidR="008A1CD9" w:rsidRPr="002F2D48">
        <w:rPr>
          <w:sz w:val="26"/>
          <w:szCs w:val="26"/>
        </w:rPr>
        <w:t xml:space="preserve">ленность произведенных расходов. Наибольший удельный вес в общем объеме расходов приходится на «Культуру и кинематографию» - </w:t>
      </w:r>
      <w:r w:rsidR="00F578B2" w:rsidRPr="002F2D48">
        <w:rPr>
          <w:sz w:val="26"/>
          <w:szCs w:val="26"/>
        </w:rPr>
        <w:t>28,59</w:t>
      </w:r>
      <w:r w:rsidR="00F578B2" w:rsidRPr="002F2D48">
        <w:rPr>
          <w:sz w:val="28"/>
          <w:szCs w:val="28"/>
        </w:rPr>
        <w:t xml:space="preserve"> </w:t>
      </w:r>
      <w:r w:rsidR="008A1CD9" w:rsidRPr="002F2D48">
        <w:rPr>
          <w:sz w:val="26"/>
          <w:szCs w:val="26"/>
        </w:rPr>
        <w:t>%, «О</w:t>
      </w:r>
      <w:r w:rsidR="00F578B2" w:rsidRPr="002F2D48">
        <w:rPr>
          <w:sz w:val="26"/>
          <w:szCs w:val="26"/>
        </w:rPr>
        <w:t>бщегосударственные вопросы» - 20,81</w:t>
      </w:r>
      <w:r w:rsidR="008A1CD9" w:rsidRPr="002F2D48">
        <w:rPr>
          <w:sz w:val="26"/>
          <w:szCs w:val="26"/>
        </w:rPr>
        <w:t xml:space="preserve"> %, «Жили</w:t>
      </w:r>
      <w:r w:rsidR="00F578B2" w:rsidRPr="002F2D48">
        <w:rPr>
          <w:sz w:val="26"/>
          <w:szCs w:val="26"/>
        </w:rPr>
        <w:t>щно-коммунальное хозяйство» - 15,11</w:t>
      </w:r>
      <w:r w:rsidR="008A1CD9" w:rsidRPr="002F2D48">
        <w:rPr>
          <w:sz w:val="26"/>
          <w:szCs w:val="26"/>
        </w:rPr>
        <w:t xml:space="preserve"> %, </w:t>
      </w:r>
      <w:r w:rsidR="00F578B2" w:rsidRPr="002F2D48">
        <w:rPr>
          <w:sz w:val="26"/>
          <w:szCs w:val="26"/>
        </w:rPr>
        <w:t>«Национальная экономика» - 11,92</w:t>
      </w:r>
      <w:r w:rsidR="008A1CD9" w:rsidRPr="002F2D48">
        <w:rPr>
          <w:sz w:val="26"/>
          <w:szCs w:val="26"/>
        </w:rPr>
        <w:t xml:space="preserve"> %, «Физическая культура и спорт» - 8,42 %, «Образование» - </w:t>
      </w:r>
      <w:r w:rsidR="00F578B2" w:rsidRPr="002F2D48">
        <w:rPr>
          <w:sz w:val="26"/>
          <w:szCs w:val="26"/>
        </w:rPr>
        <w:t>8,04</w:t>
      </w:r>
      <w:r w:rsidR="008A1CD9" w:rsidRPr="002F2D48">
        <w:rPr>
          <w:sz w:val="26"/>
          <w:szCs w:val="26"/>
        </w:rPr>
        <w:t xml:space="preserve"> %. По остальным направлениям расходов удельный вес в общем объеме расходов варьируется от 0,</w:t>
      </w:r>
      <w:r w:rsidR="00F578B2" w:rsidRPr="002F2D48">
        <w:rPr>
          <w:sz w:val="26"/>
          <w:szCs w:val="26"/>
        </w:rPr>
        <w:t>01 % до 5,61</w:t>
      </w:r>
      <w:r w:rsidR="008A1CD9" w:rsidRPr="002F2D48">
        <w:rPr>
          <w:sz w:val="26"/>
          <w:szCs w:val="26"/>
        </w:rPr>
        <w:t xml:space="preserve"> %.</w:t>
      </w:r>
    </w:p>
    <w:p w:rsidR="008F4B31" w:rsidRPr="002F2D48" w:rsidRDefault="008F4B31" w:rsidP="00BC1AC7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Процент исполнения по </w:t>
      </w:r>
      <w:r w:rsidR="00F578B2" w:rsidRPr="002F2D48">
        <w:rPr>
          <w:sz w:val="26"/>
          <w:szCs w:val="26"/>
        </w:rPr>
        <w:t>разделам</w:t>
      </w:r>
      <w:r w:rsidRPr="002F2D48">
        <w:rPr>
          <w:sz w:val="26"/>
          <w:szCs w:val="26"/>
        </w:rPr>
        <w:t xml:space="preserve"> классификации расходов сложился на достаточно вы</w:t>
      </w:r>
      <w:r w:rsidR="00F578B2" w:rsidRPr="002F2D48">
        <w:rPr>
          <w:sz w:val="26"/>
          <w:szCs w:val="26"/>
        </w:rPr>
        <w:t>соком уровне и варьируется от 90,31</w:t>
      </w:r>
      <w:r w:rsidRPr="002F2D48">
        <w:rPr>
          <w:sz w:val="26"/>
          <w:szCs w:val="26"/>
        </w:rPr>
        <w:t xml:space="preserve"> % до 100</w:t>
      </w:r>
      <w:r w:rsidR="00F578B2" w:rsidRPr="002F2D48">
        <w:rPr>
          <w:sz w:val="26"/>
          <w:szCs w:val="26"/>
        </w:rPr>
        <w:t>,00</w:t>
      </w:r>
      <w:r w:rsidRPr="002F2D48">
        <w:rPr>
          <w:sz w:val="26"/>
          <w:szCs w:val="26"/>
        </w:rPr>
        <w:t xml:space="preserve"> %.</w:t>
      </w:r>
    </w:p>
    <w:p w:rsidR="008B1D5E" w:rsidRPr="002F2D48" w:rsidRDefault="008F4B31" w:rsidP="00BC1AC7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Вместе с тем, по разделу «</w:t>
      </w:r>
      <w:r w:rsidR="00BC1AC7" w:rsidRPr="002F2D48">
        <w:rPr>
          <w:sz w:val="26"/>
          <w:szCs w:val="26"/>
        </w:rPr>
        <w:t xml:space="preserve">Национальная безопасность и правоохранительная деятельность» </w:t>
      </w:r>
      <w:r w:rsidR="003E2E4E" w:rsidRPr="002F2D48">
        <w:rPr>
          <w:sz w:val="26"/>
          <w:szCs w:val="26"/>
        </w:rPr>
        <w:t>в течении трех</w:t>
      </w:r>
      <w:r w:rsidR="003B7673" w:rsidRPr="002F2D48">
        <w:rPr>
          <w:sz w:val="26"/>
          <w:szCs w:val="26"/>
        </w:rPr>
        <w:t xml:space="preserve"> отчетных периодов наблюдается </w:t>
      </w:r>
      <w:r w:rsidR="00A26986" w:rsidRPr="002F2D48">
        <w:rPr>
          <w:sz w:val="26"/>
          <w:szCs w:val="26"/>
        </w:rPr>
        <w:t xml:space="preserve">достаточно </w:t>
      </w:r>
      <w:r w:rsidR="003B7673" w:rsidRPr="002F2D48">
        <w:rPr>
          <w:sz w:val="26"/>
          <w:szCs w:val="26"/>
        </w:rPr>
        <w:t>низкое исполнение плановых назначений</w:t>
      </w:r>
      <w:r w:rsidR="00975564" w:rsidRPr="002F2D48">
        <w:rPr>
          <w:sz w:val="26"/>
          <w:szCs w:val="26"/>
        </w:rPr>
        <w:t xml:space="preserve"> (за 2017 год</w:t>
      </w:r>
      <w:r w:rsidR="00A26986" w:rsidRPr="002F2D48">
        <w:rPr>
          <w:sz w:val="26"/>
          <w:szCs w:val="26"/>
        </w:rPr>
        <w:t xml:space="preserve"> </w:t>
      </w:r>
      <w:r w:rsidR="00975564" w:rsidRPr="002F2D48">
        <w:rPr>
          <w:sz w:val="26"/>
          <w:szCs w:val="26"/>
        </w:rPr>
        <w:t>–</w:t>
      </w:r>
      <w:r w:rsidR="00A26986" w:rsidRPr="002F2D48">
        <w:rPr>
          <w:sz w:val="26"/>
          <w:szCs w:val="26"/>
        </w:rPr>
        <w:t xml:space="preserve"> </w:t>
      </w:r>
      <w:r w:rsidR="00975564" w:rsidRPr="002F2D48">
        <w:rPr>
          <w:sz w:val="26"/>
          <w:szCs w:val="26"/>
        </w:rPr>
        <w:t>71,1 %, за 2018 год – 62,30 %</w:t>
      </w:r>
      <w:r w:rsidR="003E2E4E" w:rsidRPr="002F2D48">
        <w:rPr>
          <w:sz w:val="26"/>
          <w:szCs w:val="26"/>
        </w:rPr>
        <w:t>, за 2019 год – 71,08</w:t>
      </w:r>
      <w:r w:rsidR="00975564" w:rsidRPr="002F2D48">
        <w:rPr>
          <w:sz w:val="26"/>
          <w:szCs w:val="26"/>
        </w:rPr>
        <w:t>)</w:t>
      </w:r>
      <w:r w:rsidR="008B1D5E" w:rsidRPr="002F2D48">
        <w:rPr>
          <w:sz w:val="26"/>
          <w:szCs w:val="26"/>
        </w:rPr>
        <w:t xml:space="preserve">, </w:t>
      </w:r>
      <w:r w:rsidR="00462BD1" w:rsidRPr="002F2D48">
        <w:rPr>
          <w:sz w:val="26"/>
          <w:szCs w:val="26"/>
        </w:rPr>
        <w:t xml:space="preserve">которое обусловлено, согласно </w:t>
      </w:r>
      <w:r w:rsidR="007F7F49" w:rsidRPr="002F2D48">
        <w:rPr>
          <w:sz w:val="26"/>
          <w:szCs w:val="26"/>
        </w:rPr>
        <w:t xml:space="preserve">пояснениям </w:t>
      </w:r>
      <w:r w:rsidR="00153036" w:rsidRPr="002F2D48">
        <w:rPr>
          <w:sz w:val="26"/>
          <w:szCs w:val="26"/>
        </w:rPr>
        <w:t>Ф</w:t>
      </w:r>
      <w:r w:rsidR="008B1D5E" w:rsidRPr="002F2D48">
        <w:rPr>
          <w:sz w:val="26"/>
          <w:szCs w:val="26"/>
        </w:rPr>
        <w:t>инансового</w:t>
      </w:r>
      <w:r w:rsidR="00B12561" w:rsidRPr="002F2D48">
        <w:rPr>
          <w:sz w:val="26"/>
          <w:szCs w:val="26"/>
        </w:rPr>
        <w:t xml:space="preserve"> комитета</w:t>
      </w:r>
      <w:r w:rsidR="00462BD1" w:rsidRPr="002F2D48">
        <w:rPr>
          <w:sz w:val="26"/>
          <w:szCs w:val="26"/>
        </w:rPr>
        <w:t>,</w:t>
      </w:r>
      <w:r w:rsidR="008B1D5E" w:rsidRPr="002F2D48">
        <w:rPr>
          <w:sz w:val="26"/>
          <w:szCs w:val="26"/>
        </w:rPr>
        <w:t xml:space="preserve"> отсутствие</w:t>
      </w:r>
      <w:r w:rsidR="00462BD1" w:rsidRPr="002F2D48">
        <w:rPr>
          <w:sz w:val="26"/>
          <w:szCs w:val="26"/>
        </w:rPr>
        <w:t>м</w:t>
      </w:r>
      <w:r w:rsidR="008B1D5E" w:rsidRPr="002F2D48">
        <w:rPr>
          <w:sz w:val="26"/>
          <w:szCs w:val="26"/>
        </w:rPr>
        <w:t xml:space="preserve"> чрезвычайных ситуаций.</w:t>
      </w:r>
    </w:p>
    <w:p w:rsidR="005E61E5" w:rsidRPr="002F2D48" w:rsidRDefault="007F7F49" w:rsidP="00BC1AC7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А</w:t>
      </w:r>
      <w:r w:rsidR="008B1D5E" w:rsidRPr="002F2D48">
        <w:rPr>
          <w:sz w:val="26"/>
          <w:szCs w:val="26"/>
        </w:rPr>
        <w:t xml:space="preserve">нализ </w:t>
      </w:r>
      <w:r w:rsidRPr="002F2D48">
        <w:rPr>
          <w:sz w:val="26"/>
          <w:szCs w:val="26"/>
        </w:rPr>
        <w:t xml:space="preserve">исполнения </w:t>
      </w:r>
      <w:r w:rsidR="008B1D5E" w:rsidRPr="002F2D48">
        <w:rPr>
          <w:sz w:val="26"/>
          <w:szCs w:val="26"/>
        </w:rPr>
        <w:t xml:space="preserve">плановых </w:t>
      </w:r>
      <w:r w:rsidR="00B12561" w:rsidRPr="002F2D48">
        <w:rPr>
          <w:sz w:val="26"/>
          <w:szCs w:val="26"/>
        </w:rPr>
        <w:t xml:space="preserve">ассигнований </w:t>
      </w:r>
      <w:r w:rsidR="008B1D5E" w:rsidRPr="002F2D48">
        <w:rPr>
          <w:sz w:val="26"/>
          <w:szCs w:val="26"/>
        </w:rPr>
        <w:t>по данному разделу</w:t>
      </w:r>
      <w:r w:rsidRPr="002F2D48">
        <w:rPr>
          <w:sz w:val="26"/>
          <w:szCs w:val="26"/>
        </w:rPr>
        <w:t xml:space="preserve"> показал</w:t>
      </w:r>
      <w:r w:rsidR="008B1D5E" w:rsidRPr="002F2D48">
        <w:rPr>
          <w:sz w:val="26"/>
          <w:szCs w:val="26"/>
        </w:rPr>
        <w:t>, что</w:t>
      </w:r>
      <w:r w:rsidR="003E2E4E" w:rsidRPr="002F2D48">
        <w:rPr>
          <w:sz w:val="26"/>
          <w:szCs w:val="26"/>
        </w:rPr>
        <w:t xml:space="preserve"> неисполнение в сумме 606,4</w:t>
      </w:r>
      <w:r w:rsidRPr="002F2D48">
        <w:rPr>
          <w:sz w:val="26"/>
          <w:szCs w:val="26"/>
        </w:rPr>
        <w:t>1 тыс. руб. образовалось в результате</w:t>
      </w:r>
      <w:r w:rsidR="0049319D">
        <w:rPr>
          <w:sz w:val="26"/>
          <w:szCs w:val="26"/>
        </w:rPr>
        <w:t xml:space="preserve"> не освоения</w:t>
      </w:r>
      <w:r w:rsidR="003E2E4E" w:rsidRPr="002F2D48">
        <w:rPr>
          <w:sz w:val="26"/>
          <w:szCs w:val="26"/>
        </w:rPr>
        <w:t xml:space="preserve"> </w:t>
      </w:r>
      <w:r w:rsidR="0049319D">
        <w:rPr>
          <w:sz w:val="26"/>
          <w:szCs w:val="26"/>
        </w:rPr>
        <w:t>бюджетных</w:t>
      </w:r>
      <w:r w:rsidR="009E2100" w:rsidRPr="002F2D48">
        <w:rPr>
          <w:sz w:val="26"/>
          <w:szCs w:val="26"/>
        </w:rPr>
        <w:t xml:space="preserve"> ассигнований </w:t>
      </w:r>
      <w:r w:rsidR="003E2E4E" w:rsidRPr="002F2D48">
        <w:rPr>
          <w:sz w:val="26"/>
          <w:szCs w:val="26"/>
        </w:rPr>
        <w:t xml:space="preserve">на создание, содержание и восполнение резерва материальных ресурсов для ликвидации чрезвычайных ситуаций на территории муниципального образования "Город Дудинка" </w:t>
      </w:r>
      <w:r w:rsidR="005E61E5" w:rsidRPr="002F2D48">
        <w:rPr>
          <w:sz w:val="26"/>
          <w:szCs w:val="26"/>
        </w:rPr>
        <w:t>по причине не востребованности средств из резерва материальных ресурсов в связи с отсутствием чрезвычайных ситуаций.</w:t>
      </w:r>
    </w:p>
    <w:p w:rsidR="009412A5" w:rsidRPr="002F2D48" w:rsidRDefault="005E61E5" w:rsidP="009412A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Исходя из вышеизложенного</w:t>
      </w:r>
      <w:r w:rsidR="009412A5" w:rsidRPr="002F2D48">
        <w:rPr>
          <w:bCs/>
          <w:sz w:val="26"/>
          <w:szCs w:val="26"/>
        </w:rPr>
        <w:t>,</w:t>
      </w:r>
      <w:r w:rsidRPr="002F2D48">
        <w:rPr>
          <w:bCs/>
          <w:sz w:val="26"/>
          <w:szCs w:val="26"/>
        </w:rPr>
        <w:t xml:space="preserve"> Контрольно-Счетная палата предлагает ГАБС</w:t>
      </w:r>
      <w:r w:rsidR="009E423B" w:rsidRPr="002F2D48">
        <w:rPr>
          <w:bCs/>
          <w:sz w:val="26"/>
          <w:szCs w:val="26"/>
        </w:rPr>
        <w:t xml:space="preserve"> (Администрации города) при осуществлении планирования расходов по рассматриваемому разделу</w:t>
      </w:r>
      <w:r w:rsidR="00FA4E1B" w:rsidRPr="002F2D48">
        <w:rPr>
          <w:bCs/>
          <w:sz w:val="26"/>
          <w:szCs w:val="26"/>
        </w:rPr>
        <w:t xml:space="preserve"> (03)</w:t>
      </w:r>
      <w:r w:rsidRPr="002F2D48">
        <w:rPr>
          <w:bCs/>
          <w:sz w:val="26"/>
          <w:szCs w:val="26"/>
        </w:rPr>
        <w:t xml:space="preserve"> </w:t>
      </w:r>
      <w:r w:rsidR="009412A5" w:rsidRPr="002F2D48">
        <w:rPr>
          <w:bCs/>
          <w:sz w:val="26"/>
          <w:szCs w:val="26"/>
        </w:rPr>
        <w:t>исходить из принципа эффективности использования бюджетных средств, установленного ст. 34 БК РФ</w:t>
      </w:r>
      <w:r w:rsidR="009319C7" w:rsidRPr="002F2D48">
        <w:rPr>
          <w:bCs/>
          <w:sz w:val="26"/>
          <w:szCs w:val="26"/>
        </w:rPr>
        <w:t xml:space="preserve"> с применением иных</w:t>
      </w:r>
      <w:r w:rsidR="009E2100" w:rsidRPr="002F2D48">
        <w:rPr>
          <w:bCs/>
          <w:sz w:val="26"/>
          <w:szCs w:val="26"/>
        </w:rPr>
        <w:t xml:space="preserve"> инструментов бюджетного планирования</w:t>
      </w:r>
      <w:r w:rsidR="009412A5" w:rsidRPr="002F2D48">
        <w:rPr>
          <w:bCs/>
          <w:sz w:val="26"/>
          <w:szCs w:val="26"/>
        </w:rPr>
        <w:t>.</w:t>
      </w:r>
    </w:p>
    <w:p w:rsidR="000131BC" w:rsidRPr="002F2D48" w:rsidRDefault="000131BC" w:rsidP="00FA4E1B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Аналитическая информация по исполнению </w:t>
      </w:r>
      <w:r w:rsidR="00FA4E1B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по ведомственной структуре расходов представлена в таблице </w:t>
      </w:r>
      <w:r w:rsidR="00FA4E1B" w:rsidRPr="002F2D48">
        <w:rPr>
          <w:sz w:val="26"/>
          <w:szCs w:val="26"/>
        </w:rPr>
        <w:t>4</w:t>
      </w:r>
      <w:r w:rsidRPr="002F2D48">
        <w:rPr>
          <w:sz w:val="26"/>
          <w:szCs w:val="26"/>
        </w:rPr>
        <w:t>.</w:t>
      </w: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FA4E1B">
      <w:pPr>
        <w:spacing w:line="276" w:lineRule="auto"/>
        <w:ind w:firstLine="709"/>
        <w:jc w:val="right"/>
        <w:rPr>
          <w:sz w:val="26"/>
          <w:szCs w:val="26"/>
        </w:rPr>
      </w:pPr>
    </w:p>
    <w:p w:rsidR="006D280F" w:rsidRPr="002F2D48" w:rsidRDefault="006D280F" w:rsidP="00FA4E1B">
      <w:pPr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FA4E1B" w:rsidRPr="002F2D48">
        <w:rPr>
          <w:sz w:val="26"/>
          <w:szCs w:val="26"/>
        </w:rPr>
        <w:t>4</w:t>
      </w:r>
    </w:p>
    <w:tbl>
      <w:tblPr>
        <w:tblW w:w="1030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555"/>
        <w:gridCol w:w="1637"/>
        <w:gridCol w:w="1482"/>
        <w:gridCol w:w="1275"/>
        <w:gridCol w:w="1159"/>
        <w:gridCol w:w="1195"/>
      </w:tblGrid>
      <w:tr w:rsidR="006D280F" w:rsidRPr="002F2D48" w:rsidTr="00A241C1">
        <w:trPr>
          <w:trHeight w:val="145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DF" w:rsidRPr="002F2D48" w:rsidRDefault="00EB52F5" w:rsidP="008E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П</w:t>
            </w:r>
            <w:r w:rsidR="008E3DDF" w:rsidRPr="002F2D48">
              <w:rPr>
                <w:b/>
                <w:bCs/>
                <w:sz w:val="20"/>
                <w:szCs w:val="20"/>
              </w:rPr>
              <w:t>лановые ассигнования по бюджетной росписи</w:t>
            </w:r>
          </w:p>
          <w:p w:rsidR="006D280F" w:rsidRPr="002F2D48" w:rsidRDefault="008E3DDF" w:rsidP="008E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Отклонение    </w:t>
            </w:r>
            <w:r w:rsidR="00DE4D6B" w:rsidRPr="002F2D48">
              <w:rPr>
                <w:b/>
                <w:bCs/>
                <w:sz w:val="20"/>
                <w:szCs w:val="20"/>
              </w:rPr>
              <w:t xml:space="preserve">         тыс. руб.          (гр.2-гр.1</w:t>
            </w:r>
            <w:r w:rsidRPr="002F2D48">
              <w:rPr>
                <w:b/>
                <w:bCs/>
                <w:sz w:val="20"/>
                <w:szCs w:val="20"/>
              </w:rPr>
              <w:t>)</w:t>
            </w:r>
          </w:p>
          <w:p w:rsidR="00DE4D6B" w:rsidRPr="002F2D48" w:rsidRDefault="00DE4D6B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1548F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Структура (% к общему объему </w:t>
            </w:r>
            <w:r w:rsidR="001548F0" w:rsidRPr="002F2D48">
              <w:rPr>
                <w:b/>
                <w:bCs/>
                <w:sz w:val="20"/>
                <w:szCs w:val="20"/>
              </w:rPr>
              <w:t xml:space="preserve">исполнен. </w:t>
            </w:r>
            <w:r w:rsidRPr="002F2D48">
              <w:rPr>
                <w:b/>
                <w:bCs/>
                <w:sz w:val="20"/>
                <w:szCs w:val="20"/>
              </w:rPr>
              <w:t>расходов)</w:t>
            </w:r>
          </w:p>
        </w:tc>
      </w:tr>
      <w:tr w:rsidR="006D280F" w:rsidRPr="002F2D48" w:rsidTr="00A241C1">
        <w:trPr>
          <w:trHeight w:val="2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5</w:t>
            </w:r>
          </w:p>
        </w:tc>
      </w:tr>
      <w:tr w:rsidR="006D280F" w:rsidRPr="002F2D48" w:rsidTr="00A241C1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Администрация города Дудинки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rPr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430 506,12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413 271,01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8858A5" w:rsidP="008858A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- 17</w:t>
            </w:r>
            <w:r w:rsidR="002F31AC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235</w:t>
            </w:r>
            <w:r w:rsidR="002F31AC" w:rsidRPr="002F2D48">
              <w:rPr>
                <w:sz w:val="20"/>
                <w:szCs w:val="20"/>
              </w:rPr>
              <w:t>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43,70</w:t>
            </w:r>
          </w:p>
        </w:tc>
      </w:tr>
      <w:tr w:rsidR="006D280F" w:rsidRPr="002F2D48" w:rsidTr="00A241C1">
        <w:trPr>
          <w:trHeight w:val="29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Дудинский городской Совет депутатов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outlineLvl w:val="0"/>
              <w:rPr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2 527,01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2 428,65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8858A5" w:rsidP="008858A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2F31AC" w:rsidRPr="002F2D48">
              <w:rPr>
                <w:sz w:val="20"/>
                <w:szCs w:val="20"/>
              </w:rPr>
              <w:t>98,36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96,11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0,26</w:t>
            </w:r>
          </w:p>
        </w:tc>
      </w:tr>
      <w:tr w:rsidR="006D280F" w:rsidRPr="002F2D48" w:rsidTr="00A241C1">
        <w:trPr>
          <w:trHeight w:val="4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Комитет по обеспечению деятельности органов местного самоуправления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outlineLvl w:val="6"/>
              <w:rPr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35 886,74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35 202,54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8858A5" w:rsidP="008858A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2F31AC" w:rsidRPr="002F2D48">
              <w:rPr>
                <w:sz w:val="20"/>
                <w:szCs w:val="20"/>
              </w:rPr>
              <w:t>684,21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98,09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3,72</w:t>
            </w:r>
          </w:p>
        </w:tc>
      </w:tr>
      <w:tr w:rsidR="006D280F" w:rsidRPr="002F2D48" w:rsidTr="00A241C1">
        <w:trPr>
          <w:trHeight w:val="4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Комитет культуры, молодежной политики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rPr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426 304,03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426 083,37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8858A5" w:rsidP="008858A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2F31AC" w:rsidRPr="002F2D48">
              <w:rPr>
                <w:sz w:val="20"/>
                <w:szCs w:val="20"/>
              </w:rPr>
              <w:t>220,66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45</w:t>
            </w:r>
            <w:r w:rsidR="007326B6" w:rsidRPr="002F2D48">
              <w:rPr>
                <w:sz w:val="20"/>
                <w:szCs w:val="20"/>
              </w:rPr>
              <w:t>,</w:t>
            </w:r>
            <w:r w:rsidRPr="002F2D48">
              <w:rPr>
                <w:sz w:val="20"/>
                <w:szCs w:val="20"/>
              </w:rPr>
              <w:t>0</w:t>
            </w:r>
            <w:r w:rsidR="007326B6" w:rsidRPr="002F2D48">
              <w:rPr>
                <w:sz w:val="20"/>
                <w:szCs w:val="20"/>
              </w:rPr>
              <w:t>6</w:t>
            </w:r>
          </w:p>
        </w:tc>
      </w:tr>
      <w:tr w:rsidR="006D280F" w:rsidRPr="002F2D48" w:rsidTr="00A241C1">
        <w:trPr>
          <w:trHeight w:val="33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Финансовый комитет Администрации города Дудинки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rPr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68 671,58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68 655,15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8858A5" w:rsidP="008858A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2F31AC" w:rsidRPr="002F2D48">
              <w:rPr>
                <w:sz w:val="20"/>
                <w:szCs w:val="20"/>
              </w:rPr>
              <w:t>16,43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7,26</w:t>
            </w:r>
          </w:p>
        </w:tc>
      </w:tr>
      <w:tr w:rsidR="006D280F" w:rsidRPr="002F2D48" w:rsidTr="00A241C1">
        <w:trPr>
          <w:trHeight w:val="15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0F" w:rsidRPr="002F2D48" w:rsidRDefault="006D280F" w:rsidP="00D249E6">
            <w:pPr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006FE4" w:rsidP="00EB52F5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963 895,48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2F31AC" w:rsidP="00A241C1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945 640,72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A241C1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 xml:space="preserve">- </w:t>
            </w:r>
            <w:r w:rsidR="002F31AC" w:rsidRPr="002F2D48">
              <w:rPr>
                <w:b/>
                <w:sz w:val="20"/>
                <w:szCs w:val="20"/>
              </w:rPr>
              <w:t>18 254,76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4C4087" w:rsidP="00532575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98,11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80F" w:rsidRPr="002F2D48" w:rsidRDefault="007326B6" w:rsidP="00532575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6D280F" w:rsidRPr="002F2D48" w:rsidRDefault="006D280F" w:rsidP="006D280F">
      <w:pPr>
        <w:ind w:firstLine="709"/>
        <w:jc w:val="both"/>
        <w:rPr>
          <w:sz w:val="16"/>
          <w:szCs w:val="16"/>
          <w:highlight w:val="yellow"/>
        </w:rPr>
      </w:pP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Из предс</w:t>
      </w:r>
      <w:r w:rsidR="007326B6" w:rsidRPr="002F2D48">
        <w:rPr>
          <w:sz w:val="26"/>
          <w:szCs w:val="26"/>
        </w:rPr>
        <w:t>тавленных в таблице</w:t>
      </w:r>
      <w:r w:rsidR="00036693" w:rsidRPr="002F2D48">
        <w:rPr>
          <w:sz w:val="26"/>
          <w:szCs w:val="26"/>
        </w:rPr>
        <w:t xml:space="preserve"> 4</w:t>
      </w:r>
      <w:r w:rsidR="007326B6" w:rsidRPr="002F2D48">
        <w:rPr>
          <w:sz w:val="26"/>
          <w:szCs w:val="26"/>
        </w:rPr>
        <w:t xml:space="preserve"> данных следует</w:t>
      </w:r>
      <w:r w:rsidRPr="002F2D48">
        <w:rPr>
          <w:sz w:val="26"/>
          <w:szCs w:val="26"/>
        </w:rPr>
        <w:t xml:space="preserve">, что процент исполнения расходов городского бюджета в разрезе главных распорядителей бюджетных средств варьируется от </w:t>
      </w:r>
      <w:r w:rsidR="004C4087" w:rsidRPr="002F2D48">
        <w:rPr>
          <w:sz w:val="26"/>
          <w:szCs w:val="26"/>
        </w:rPr>
        <w:t>96,00</w:t>
      </w:r>
      <w:r w:rsidRPr="002F2D48">
        <w:rPr>
          <w:sz w:val="26"/>
          <w:szCs w:val="26"/>
        </w:rPr>
        <w:t xml:space="preserve"> % по </w:t>
      </w:r>
      <w:r w:rsidR="004C4087" w:rsidRPr="002F2D48">
        <w:rPr>
          <w:sz w:val="26"/>
          <w:szCs w:val="26"/>
        </w:rPr>
        <w:t>Администрации города</w:t>
      </w:r>
      <w:r w:rsidR="007326B6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до 99,</w:t>
      </w:r>
      <w:r w:rsidR="004C4087" w:rsidRPr="002F2D48">
        <w:rPr>
          <w:sz w:val="26"/>
          <w:szCs w:val="26"/>
        </w:rPr>
        <w:t>9</w:t>
      </w:r>
      <w:r w:rsidR="0084149B" w:rsidRPr="002F2D48">
        <w:rPr>
          <w:sz w:val="26"/>
          <w:szCs w:val="26"/>
        </w:rPr>
        <w:t xml:space="preserve">8 % </w:t>
      </w:r>
      <w:r w:rsidRPr="002F2D48">
        <w:rPr>
          <w:sz w:val="26"/>
          <w:szCs w:val="26"/>
        </w:rPr>
        <w:t>по</w:t>
      </w:r>
      <w:r w:rsidR="004C4087" w:rsidRPr="002F2D48">
        <w:rPr>
          <w:sz w:val="26"/>
          <w:szCs w:val="26"/>
        </w:rPr>
        <w:t xml:space="preserve"> Финансовому комитету</w:t>
      </w:r>
      <w:r w:rsidRPr="002F2D48">
        <w:rPr>
          <w:sz w:val="26"/>
          <w:szCs w:val="26"/>
        </w:rPr>
        <w:t>.</w:t>
      </w:r>
      <w:r w:rsidRPr="002F2D48">
        <w:rPr>
          <w:sz w:val="26"/>
          <w:szCs w:val="26"/>
          <w:highlight w:val="yellow"/>
        </w:rPr>
        <w:t xml:space="preserve"> </w:t>
      </w: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 xml:space="preserve">Наибольший удельный вес в исполненных расходах городского бюджета по ведомственной </w:t>
      </w:r>
      <w:r w:rsidR="004C4087" w:rsidRPr="002F2D48">
        <w:rPr>
          <w:sz w:val="26"/>
          <w:szCs w:val="26"/>
        </w:rPr>
        <w:t>структуре</w:t>
      </w:r>
      <w:r w:rsidR="00026E27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составляют расходы </w:t>
      </w:r>
      <w:r w:rsidR="00612800" w:rsidRPr="002F2D48">
        <w:rPr>
          <w:sz w:val="26"/>
          <w:szCs w:val="26"/>
        </w:rPr>
        <w:t>Комитета культуры, молодежной политики и спорта – 45</w:t>
      </w:r>
      <w:r w:rsidRPr="002F2D48">
        <w:rPr>
          <w:sz w:val="26"/>
          <w:szCs w:val="26"/>
        </w:rPr>
        <w:t>,</w:t>
      </w:r>
      <w:r w:rsidR="00612800" w:rsidRPr="002F2D48">
        <w:rPr>
          <w:sz w:val="26"/>
          <w:szCs w:val="26"/>
        </w:rPr>
        <w:t>06</w:t>
      </w:r>
      <w:r w:rsidRPr="002F2D48">
        <w:rPr>
          <w:sz w:val="26"/>
          <w:szCs w:val="26"/>
        </w:rPr>
        <w:t xml:space="preserve"> % и </w:t>
      </w:r>
      <w:r w:rsidR="00612800" w:rsidRPr="002F2D48">
        <w:rPr>
          <w:sz w:val="26"/>
          <w:szCs w:val="26"/>
        </w:rPr>
        <w:t xml:space="preserve">Администрации города Дудинки </w:t>
      </w:r>
      <w:r w:rsidRPr="002F2D48">
        <w:rPr>
          <w:sz w:val="26"/>
          <w:szCs w:val="26"/>
        </w:rPr>
        <w:t xml:space="preserve">– </w:t>
      </w:r>
      <w:r w:rsidR="00612800" w:rsidRPr="002F2D48">
        <w:rPr>
          <w:sz w:val="26"/>
          <w:szCs w:val="26"/>
        </w:rPr>
        <w:t>43,70</w:t>
      </w:r>
      <w:r w:rsidR="0084149B" w:rsidRPr="002F2D48">
        <w:rPr>
          <w:sz w:val="26"/>
          <w:szCs w:val="26"/>
        </w:rPr>
        <w:t xml:space="preserve"> %</w:t>
      </w:r>
      <w:r w:rsidRPr="002F2D48">
        <w:rPr>
          <w:sz w:val="26"/>
          <w:szCs w:val="26"/>
        </w:rPr>
        <w:t>. Удельный вес остальных</w:t>
      </w:r>
      <w:r w:rsidR="0049319D">
        <w:rPr>
          <w:sz w:val="26"/>
          <w:szCs w:val="26"/>
        </w:rPr>
        <w:t xml:space="preserve"> трех</w:t>
      </w:r>
      <w:r w:rsidRPr="002F2D48">
        <w:rPr>
          <w:sz w:val="26"/>
          <w:szCs w:val="26"/>
        </w:rPr>
        <w:t xml:space="preserve"> главных распорядителей средств городского бюджета составляет </w:t>
      </w:r>
      <w:r w:rsidR="00612800" w:rsidRPr="002F2D48">
        <w:rPr>
          <w:sz w:val="26"/>
          <w:szCs w:val="26"/>
        </w:rPr>
        <w:t>11,2</w:t>
      </w:r>
      <w:r w:rsidR="0084149B" w:rsidRPr="002F2D48">
        <w:rPr>
          <w:sz w:val="26"/>
          <w:szCs w:val="26"/>
        </w:rPr>
        <w:t>4 % и остается</w:t>
      </w:r>
      <w:r w:rsidRPr="002F2D48">
        <w:rPr>
          <w:sz w:val="26"/>
          <w:szCs w:val="26"/>
        </w:rPr>
        <w:t xml:space="preserve"> практически на прежнем уровне.</w:t>
      </w:r>
      <w:r w:rsidRPr="002F2D48">
        <w:rPr>
          <w:sz w:val="26"/>
          <w:szCs w:val="26"/>
          <w:highlight w:val="yellow"/>
        </w:rPr>
        <w:t xml:space="preserve"> </w:t>
      </w:r>
    </w:p>
    <w:p w:rsidR="00D53972" w:rsidRPr="002F2D48" w:rsidRDefault="000131BC" w:rsidP="007326B6">
      <w:pPr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F2D48">
        <w:rPr>
          <w:rFonts w:eastAsia="Calibri"/>
          <w:sz w:val="26"/>
          <w:szCs w:val="26"/>
          <w:lang w:eastAsia="en-US"/>
        </w:rPr>
        <w:t>Сведения об исполнении расходов по видам расходов представлены в таблице</w:t>
      </w:r>
      <w:r w:rsidR="00026E27" w:rsidRPr="002F2D48">
        <w:rPr>
          <w:rFonts w:eastAsia="Calibri"/>
          <w:sz w:val="26"/>
          <w:szCs w:val="26"/>
          <w:lang w:eastAsia="en-US"/>
        </w:rPr>
        <w:t xml:space="preserve"> 5</w:t>
      </w:r>
      <w:r w:rsidRPr="002F2D48">
        <w:rPr>
          <w:rFonts w:eastAsia="Calibri"/>
          <w:sz w:val="26"/>
          <w:szCs w:val="26"/>
          <w:lang w:eastAsia="en-US"/>
        </w:rPr>
        <w:t>.</w:t>
      </w:r>
    </w:p>
    <w:p w:rsidR="00651673" w:rsidRPr="002F2D48" w:rsidRDefault="000131BC" w:rsidP="00D53972">
      <w:pPr>
        <w:spacing w:line="276" w:lineRule="auto"/>
        <w:ind w:firstLine="720"/>
        <w:jc w:val="right"/>
        <w:rPr>
          <w:rFonts w:eastAsia="Calibri"/>
          <w:sz w:val="26"/>
          <w:szCs w:val="26"/>
          <w:lang w:eastAsia="en-US"/>
        </w:rPr>
      </w:pPr>
      <w:r w:rsidRPr="002F2D48">
        <w:rPr>
          <w:rFonts w:eastAsia="Calibri"/>
          <w:sz w:val="26"/>
          <w:szCs w:val="26"/>
          <w:lang w:eastAsia="en-US"/>
        </w:rPr>
        <w:tab/>
      </w:r>
    </w:p>
    <w:p w:rsidR="000131BC" w:rsidRPr="002F2D48" w:rsidRDefault="000131BC" w:rsidP="00D53972">
      <w:pPr>
        <w:spacing w:line="276" w:lineRule="auto"/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026E27" w:rsidRPr="002F2D48">
        <w:rPr>
          <w:sz w:val="26"/>
          <w:szCs w:val="26"/>
        </w:rPr>
        <w:t>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559"/>
        <w:gridCol w:w="1418"/>
        <w:gridCol w:w="992"/>
        <w:gridCol w:w="1559"/>
      </w:tblGrid>
      <w:tr w:rsidR="000131BC" w:rsidRPr="002F2D48" w:rsidTr="00D249E6">
        <w:trPr>
          <w:trHeight w:val="1269"/>
        </w:trPr>
        <w:tc>
          <w:tcPr>
            <w:tcW w:w="4077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E3DDF" w:rsidRPr="002F2D48" w:rsidRDefault="00455947" w:rsidP="008E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П</w:t>
            </w:r>
            <w:r w:rsidR="008E3DDF" w:rsidRPr="002F2D48">
              <w:rPr>
                <w:b/>
                <w:bCs/>
                <w:sz w:val="20"/>
                <w:szCs w:val="20"/>
              </w:rPr>
              <w:t>лановые ассигнования по бюджетной росписи</w:t>
            </w:r>
          </w:p>
          <w:p w:rsidR="000131BC" w:rsidRPr="002F2D48" w:rsidRDefault="008E3DDF" w:rsidP="008E3DDF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0131BC" w:rsidRPr="002F2D48" w:rsidRDefault="000131BC" w:rsidP="00D249E6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Испол. в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Структура,</w:t>
            </w:r>
          </w:p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 xml:space="preserve">% </w:t>
            </w:r>
          </w:p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к общему итогу</w:t>
            </w:r>
          </w:p>
        </w:tc>
      </w:tr>
      <w:tr w:rsidR="000131BC" w:rsidRPr="002F2D48" w:rsidTr="00D249E6"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 xml:space="preserve">А 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1559" w:type="dxa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4</w:t>
            </w:r>
          </w:p>
        </w:tc>
      </w:tr>
      <w:tr w:rsidR="000131BC" w:rsidRPr="002F2D48" w:rsidTr="00D249E6">
        <w:trPr>
          <w:trHeight w:val="950"/>
        </w:trPr>
        <w:tc>
          <w:tcPr>
            <w:tcW w:w="4077" w:type="dxa"/>
            <w:shd w:val="clear" w:color="auto" w:fill="auto"/>
          </w:tcPr>
          <w:p w:rsidR="000131BC" w:rsidRPr="002F2D48" w:rsidRDefault="000131BC" w:rsidP="00216CDA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Расходы на выплаты персоналу в целях обе</w:t>
            </w:r>
            <w:r w:rsidR="00216CDA" w:rsidRPr="002F2D48">
              <w:rPr>
                <w:sz w:val="20"/>
                <w:szCs w:val="20"/>
              </w:rPr>
              <w:t>спечения выполнения функций муниципальными органами, казенными учреждениями</w:t>
            </w:r>
            <w:r w:rsidRPr="002F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0131BC" w:rsidRPr="002F2D48" w:rsidRDefault="00455947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275 261,72</w:t>
            </w:r>
          </w:p>
        </w:tc>
        <w:tc>
          <w:tcPr>
            <w:tcW w:w="1418" w:type="dxa"/>
          </w:tcPr>
          <w:p w:rsidR="000131BC" w:rsidRPr="002F2D48" w:rsidRDefault="005A6D0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274 770,43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99,82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29,06</w:t>
            </w:r>
          </w:p>
        </w:tc>
      </w:tr>
      <w:tr w:rsidR="000131BC" w:rsidRPr="002F2D48" w:rsidTr="00216CDA">
        <w:trPr>
          <w:trHeight w:val="505"/>
        </w:trPr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0131BC" w:rsidRPr="002F2D48" w:rsidRDefault="005A6D09" w:rsidP="005A6D09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180 758,11</w:t>
            </w:r>
          </w:p>
        </w:tc>
        <w:tc>
          <w:tcPr>
            <w:tcW w:w="1418" w:type="dxa"/>
          </w:tcPr>
          <w:p w:rsidR="000131BC" w:rsidRPr="002F2D48" w:rsidRDefault="0005373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</w:t>
            </w:r>
            <w:r w:rsidR="005A6D09" w:rsidRPr="002F2D48">
              <w:rPr>
                <w:sz w:val="20"/>
                <w:szCs w:val="20"/>
              </w:rPr>
              <w:t>66 382,04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92,05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17,59</w:t>
            </w:r>
          </w:p>
        </w:tc>
      </w:tr>
      <w:tr w:rsidR="000131BC" w:rsidRPr="002F2D48" w:rsidTr="00216CDA">
        <w:trPr>
          <w:trHeight w:val="555"/>
        </w:trPr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0131BC" w:rsidRPr="002F2D48" w:rsidRDefault="00C21EB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8 153,6</w:t>
            </w:r>
            <w:r w:rsidR="00203C6F" w:rsidRPr="002F2D4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8 099,76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99,34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4C069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0,86</w:t>
            </w:r>
          </w:p>
        </w:tc>
      </w:tr>
      <w:tr w:rsidR="000131BC" w:rsidRPr="002F2D48" w:rsidTr="00D249E6"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0131BC" w:rsidRPr="002F2D48" w:rsidRDefault="00C21EB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64 130,54</w:t>
            </w:r>
          </w:p>
        </w:tc>
        <w:tc>
          <w:tcPr>
            <w:tcW w:w="1418" w:type="dxa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64 130,54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05373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4C069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6,78</w:t>
            </w:r>
          </w:p>
        </w:tc>
      </w:tr>
      <w:tr w:rsidR="000131BC" w:rsidRPr="002F2D48" w:rsidTr="00216CDA">
        <w:trPr>
          <w:trHeight w:val="722"/>
        </w:trPr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336D85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0131BC" w:rsidRPr="002F2D48" w:rsidRDefault="00C21EB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360 995</w:t>
            </w:r>
            <w:r w:rsidR="00203C6F" w:rsidRPr="002F2D48">
              <w:rPr>
                <w:sz w:val="20"/>
                <w:szCs w:val="20"/>
              </w:rPr>
              <w:t>,</w:t>
            </w:r>
            <w:r w:rsidRPr="002F2D48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336D85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360 474,56</w:t>
            </w:r>
          </w:p>
        </w:tc>
        <w:tc>
          <w:tcPr>
            <w:tcW w:w="992" w:type="dxa"/>
            <w:shd w:val="clear" w:color="auto" w:fill="auto"/>
          </w:tcPr>
          <w:p w:rsidR="00336D85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99,86</w:t>
            </w:r>
          </w:p>
        </w:tc>
        <w:tc>
          <w:tcPr>
            <w:tcW w:w="1559" w:type="dxa"/>
            <w:shd w:val="clear" w:color="auto" w:fill="auto"/>
          </w:tcPr>
          <w:p w:rsidR="00336D85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0131BC" w:rsidRPr="002F2D48" w:rsidRDefault="004C069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38,12</w:t>
            </w:r>
          </w:p>
        </w:tc>
      </w:tr>
      <w:tr w:rsidR="000131BC" w:rsidRPr="002F2D48" w:rsidTr="00216CDA">
        <w:trPr>
          <w:trHeight w:val="293"/>
        </w:trPr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0131BC" w:rsidRPr="002F2D48" w:rsidRDefault="00C21EB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72,11</w:t>
            </w:r>
          </w:p>
        </w:tc>
        <w:tc>
          <w:tcPr>
            <w:tcW w:w="1418" w:type="dxa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72,11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4C069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0,01</w:t>
            </w:r>
          </w:p>
        </w:tc>
      </w:tr>
      <w:tr w:rsidR="000131BC" w:rsidRPr="002F2D48" w:rsidTr="00216CDA">
        <w:trPr>
          <w:trHeight w:val="311"/>
        </w:trPr>
        <w:tc>
          <w:tcPr>
            <w:tcW w:w="4077" w:type="dxa"/>
            <w:shd w:val="clear" w:color="auto" w:fill="auto"/>
          </w:tcPr>
          <w:p w:rsidR="000131BC" w:rsidRPr="002F2D48" w:rsidRDefault="000131BC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0131BC" w:rsidRPr="002F2D48" w:rsidRDefault="00C21EB9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74</w:t>
            </w:r>
            <w:r w:rsidR="00203C6F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523</w:t>
            </w:r>
            <w:r w:rsidR="00203C6F" w:rsidRPr="002F2D48">
              <w:rPr>
                <w:sz w:val="20"/>
                <w:szCs w:val="20"/>
              </w:rPr>
              <w:t>,</w:t>
            </w:r>
            <w:r w:rsidRPr="002F2D48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71 711,28</w:t>
            </w:r>
          </w:p>
        </w:tc>
        <w:tc>
          <w:tcPr>
            <w:tcW w:w="992" w:type="dxa"/>
            <w:shd w:val="clear" w:color="auto" w:fill="auto"/>
          </w:tcPr>
          <w:p w:rsidR="000131BC" w:rsidRPr="002F2D48" w:rsidRDefault="00336D85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96,23</w:t>
            </w:r>
          </w:p>
        </w:tc>
        <w:tc>
          <w:tcPr>
            <w:tcW w:w="1559" w:type="dxa"/>
            <w:shd w:val="clear" w:color="auto" w:fill="auto"/>
          </w:tcPr>
          <w:p w:rsidR="000131BC" w:rsidRPr="002F2D48" w:rsidRDefault="004C0691" w:rsidP="008E3DDF">
            <w:pPr>
              <w:widowControl w:val="0"/>
              <w:tabs>
                <w:tab w:val="left" w:pos="709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7,58</w:t>
            </w:r>
          </w:p>
        </w:tc>
      </w:tr>
      <w:tr w:rsidR="00FA47EC" w:rsidRPr="002F2D48" w:rsidTr="00D249E6">
        <w:tc>
          <w:tcPr>
            <w:tcW w:w="4077" w:type="dxa"/>
            <w:shd w:val="clear" w:color="auto" w:fill="auto"/>
            <w:vAlign w:val="center"/>
          </w:tcPr>
          <w:p w:rsidR="00FA47EC" w:rsidRPr="002F2D48" w:rsidRDefault="00FA47EC" w:rsidP="00325A34">
            <w:pPr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 xml:space="preserve"> </w:t>
            </w:r>
            <w:r w:rsidR="00325A34" w:rsidRPr="002F2D48">
              <w:rPr>
                <w:b/>
                <w:sz w:val="20"/>
                <w:szCs w:val="20"/>
              </w:rPr>
              <w:t>И</w:t>
            </w:r>
            <w:r w:rsidRPr="002F2D48">
              <w:rPr>
                <w:b/>
                <w:sz w:val="20"/>
                <w:szCs w:val="20"/>
              </w:rPr>
              <w:t>тог</w:t>
            </w:r>
            <w:r w:rsidR="00325A34" w:rsidRPr="002F2D48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EC" w:rsidRPr="002F2D48" w:rsidRDefault="00FA47EC" w:rsidP="00D249E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A47EC" w:rsidRPr="002F2D48" w:rsidRDefault="00C21EB9" w:rsidP="008E3DDF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963 895,48</w:t>
            </w:r>
          </w:p>
        </w:tc>
        <w:tc>
          <w:tcPr>
            <w:tcW w:w="1418" w:type="dxa"/>
            <w:vAlign w:val="bottom"/>
          </w:tcPr>
          <w:p w:rsidR="00FA47EC" w:rsidRPr="002F2D48" w:rsidRDefault="00336D85" w:rsidP="008E3DDF">
            <w:pPr>
              <w:jc w:val="right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945 640,72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EC" w:rsidRPr="002F2D48" w:rsidRDefault="00336D85" w:rsidP="008E3DDF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98,11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7EC" w:rsidRPr="002F2D48" w:rsidRDefault="00957DC8" w:rsidP="008E3DDF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100,00</w:t>
            </w:r>
          </w:p>
        </w:tc>
      </w:tr>
    </w:tbl>
    <w:p w:rsidR="000131BC" w:rsidRPr="002F2D48" w:rsidRDefault="0013662D" w:rsidP="0013662D">
      <w:pPr>
        <w:widowControl w:val="0"/>
        <w:tabs>
          <w:tab w:val="left" w:pos="709"/>
        </w:tabs>
        <w:spacing w:line="276" w:lineRule="auto"/>
        <w:rPr>
          <w:sz w:val="16"/>
          <w:szCs w:val="16"/>
        </w:rPr>
      </w:pPr>
      <w:r w:rsidRPr="002F2D48">
        <w:rPr>
          <w:sz w:val="26"/>
          <w:szCs w:val="26"/>
        </w:rPr>
        <w:t xml:space="preserve"> </w:t>
      </w:r>
    </w:p>
    <w:p w:rsidR="000131BC" w:rsidRPr="002F2D48" w:rsidRDefault="000131BC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Исходя из да</w:t>
      </w:r>
      <w:r w:rsidR="00CC51B5" w:rsidRPr="002F2D48">
        <w:rPr>
          <w:sz w:val="26"/>
          <w:szCs w:val="26"/>
        </w:rPr>
        <w:t xml:space="preserve">нных, представленных в таблице </w:t>
      </w:r>
      <w:r w:rsidR="00036693" w:rsidRPr="002F2D48">
        <w:rPr>
          <w:sz w:val="26"/>
          <w:szCs w:val="26"/>
        </w:rPr>
        <w:t>5</w:t>
      </w:r>
      <w:r w:rsidR="001B38D4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следует, что основная доля расходов </w:t>
      </w:r>
      <w:r w:rsidR="00FA47EC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приходится на вид расходов</w:t>
      </w:r>
      <w:r w:rsidR="00036693" w:rsidRPr="002F2D48">
        <w:rPr>
          <w:sz w:val="26"/>
          <w:szCs w:val="26"/>
        </w:rPr>
        <w:t xml:space="preserve"> (600)</w:t>
      </w:r>
      <w:r w:rsidR="00FA47EC" w:rsidRPr="002F2D48">
        <w:rPr>
          <w:sz w:val="26"/>
          <w:szCs w:val="26"/>
        </w:rPr>
        <w:t xml:space="preserve"> по предоставлению субсидий бюджетным, автономным учреждениям и и</w:t>
      </w:r>
      <w:r w:rsidR="00FC79BA" w:rsidRPr="002F2D48">
        <w:rPr>
          <w:sz w:val="26"/>
          <w:szCs w:val="26"/>
        </w:rPr>
        <w:t xml:space="preserve">ным некоммерческим организациям - </w:t>
      </w:r>
      <w:r w:rsidR="007928DB" w:rsidRPr="002F2D48">
        <w:rPr>
          <w:sz w:val="26"/>
          <w:szCs w:val="26"/>
        </w:rPr>
        <w:t>38,12</w:t>
      </w:r>
      <w:r w:rsidR="00FA47EC" w:rsidRPr="002F2D48">
        <w:rPr>
          <w:sz w:val="26"/>
          <w:szCs w:val="26"/>
        </w:rPr>
        <w:t xml:space="preserve"> %</w:t>
      </w:r>
      <w:r w:rsidR="00D4646A" w:rsidRPr="002F2D48">
        <w:rPr>
          <w:sz w:val="26"/>
          <w:szCs w:val="26"/>
        </w:rPr>
        <w:t xml:space="preserve">. На </w:t>
      </w:r>
      <w:r w:rsidRPr="002F2D48">
        <w:rPr>
          <w:sz w:val="26"/>
          <w:szCs w:val="26"/>
        </w:rPr>
        <w:t xml:space="preserve">расходы на выплаты персоналу в целях обеспечения выполнения функций муниципальными органами, казенными учреждениями (вид расходов 100) </w:t>
      </w:r>
      <w:r w:rsidR="00D4646A" w:rsidRPr="002F2D48">
        <w:rPr>
          <w:sz w:val="26"/>
          <w:szCs w:val="26"/>
        </w:rPr>
        <w:t>приходится</w:t>
      </w:r>
      <w:r w:rsidRPr="002F2D48">
        <w:rPr>
          <w:sz w:val="26"/>
          <w:szCs w:val="26"/>
        </w:rPr>
        <w:t xml:space="preserve"> </w:t>
      </w:r>
      <w:r w:rsidR="007928DB" w:rsidRPr="002F2D48">
        <w:rPr>
          <w:sz w:val="26"/>
          <w:szCs w:val="26"/>
        </w:rPr>
        <w:t>29,06</w:t>
      </w:r>
      <w:r w:rsidRPr="002F2D48">
        <w:rPr>
          <w:sz w:val="26"/>
          <w:szCs w:val="26"/>
        </w:rPr>
        <w:t xml:space="preserve"> % </w:t>
      </w:r>
      <w:r w:rsidR="00D4646A" w:rsidRPr="002F2D48">
        <w:rPr>
          <w:sz w:val="26"/>
          <w:szCs w:val="26"/>
        </w:rPr>
        <w:t xml:space="preserve">от общего объема расходов, на </w:t>
      </w:r>
      <w:r w:rsidRPr="002F2D48">
        <w:rPr>
          <w:sz w:val="26"/>
          <w:szCs w:val="26"/>
        </w:rPr>
        <w:t>закупк</w:t>
      </w:r>
      <w:r w:rsidR="00D4646A" w:rsidRPr="002F2D48">
        <w:rPr>
          <w:sz w:val="26"/>
          <w:szCs w:val="26"/>
        </w:rPr>
        <w:t>у</w:t>
      </w:r>
      <w:r w:rsidRPr="002F2D48">
        <w:rPr>
          <w:sz w:val="26"/>
          <w:szCs w:val="26"/>
        </w:rPr>
        <w:t xml:space="preserve"> товаров, работ и услуг для обеспечения муниципальных нужд</w:t>
      </w:r>
      <w:r w:rsidR="00036693" w:rsidRPr="002F2D48">
        <w:rPr>
          <w:sz w:val="26"/>
          <w:szCs w:val="26"/>
        </w:rPr>
        <w:t xml:space="preserve"> (вид расходов 200)</w:t>
      </w:r>
      <w:r w:rsidRPr="002F2D48">
        <w:rPr>
          <w:sz w:val="26"/>
          <w:szCs w:val="26"/>
        </w:rPr>
        <w:t xml:space="preserve"> </w:t>
      </w:r>
      <w:r w:rsidR="00036693" w:rsidRPr="002F2D48">
        <w:rPr>
          <w:sz w:val="26"/>
          <w:szCs w:val="26"/>
        </w:rPr>
        <w:t>приходится</w:t>
      </w:r>
      <w:r w:rsidRPr="002F2D48">
        <w:rPr>
          <w:sz w:val="26"/>
          <w:szCs w:val="26"/>
        </w:rPr>
        <w:t xml:space="preserve"> -  </w:t>
      </w:r>
      <w:r w:rsidR="007928DB" w:rsidRPr="002F2D48">
        <w:rPr>
          <w:sz w:val="26"/>
          <w:szCs w:val="26"/>
        </w:rPr>
        <w:t>17,59</w:t>
      </w:r>
      <w:r w:rsidR="00CF1274" w:rsidRPr="002F2D48">
        <w:rPr>
          <w:sz w:val="26"/>
          <w:szCs w:val="26"/>
        </w:rPr>
        <w:t xml:space="preserve"> %</w:t>
      </w:r>
      <w:r w:rsidR="00D4646A" w:rsidRPr="002F2D48">
        <w:rPr>
          <w:sz w:val="26"/>
          <w:szCs w:val="26"/>
        </w:rPr>
        <w:t>.</w:t>
      </w:r>
    </w:p>
    <w:p w:rsidR="00216CDA" w:rsidRPr="002F2D48" w:rsidRDefault="00CF1274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Расходы на </w:t>
      </w:r>
      <w:r w:rsidR="00A90478" w:rsidRPr="002F2D48">
        <w:rPr>
          <w:sz w:val="26"/>
          <w:szCs w:val="26"/>
        </w:rPr>
        <w:t>иные б</w:t>
      </w:r>
      <w:r w:rsidR="003A6F47" w:rsidRPr="002F2D48">
        <w:rPr>
          <w:sz w:val="26"/>
          <w:szCs w:val="26"/>
        </w:rPr>
        <w:t>юджетные ассигнования составили</w:t>
      </w:r>
      <w:r w:rsidR="00A14581">
        <w:rPr>
          <w:sz w:val="26"/>
          <w:szCs w:val="26"/>
        </w:rPr>
        <w:t xml:space="preserve"> </w:t>
      </w:r>
      <w:r w:rsidR="003A6F47" w:rsidRPr="002F2D48">
        <w:rPr>
          <w:sz w:val="26"/>
          <w:szCs w:val="26"/>
        </w:rPr>
        <w:t>7,58</w:t>
      </w:r>
      <w:r w:rsidR="00A90478" w:rsidRPr="002F2D48">
        <w:rPr>
          <w:sz w:val="26"/>
          <w:szCs w:val="26"/>
        </w:rPr>
        <w:t xml:space="preserve"> %, межбюджетные трансферты – </w:t>
      </w:r>
      <w:r w:rsidR="00216CDA" w:rsidRPr="002F2D48">
        <w:rPr>
          <w:sz w:val="26"/>
          <w:szCs w:val="26"/>
        </w:rPr>
        <w:t>6,</w:t>
      </w:r>
      <w:r w:rsidR="003A6F47" w:rsidRPr="002F2D48">
        <w:rPr>
          <w:sz w:val="26"/>
          <w:szCs w:val="26"/>
        </w:rPr>
        <w:t>78</w:t>
      </w:r>
      <w:r w:rsidR="00216CDA" w:rsidRPr="002F2D48">
        <w:rPr>
          <w:sz w:val="26"/>
          <w:szCs w:val="26"/>
        </w:rPr>
        <w:t xml:space="preserve"> % %</w:t>
      </w:r>
      <w:r w:rsidR="00A90478" w:rsidRPr="002F2D48">
        <w:rPr>
          <w:sz w:val="26"/>
          <w:szCs w:val="26"/>
        </w:rPr>
        <w:t>, социальное обеспечение</w:t>
      </w:r>
      <w:r w:rsidR="003A6F47" w:rsidRPr="002F2D48">
        <w:rPr>
          <w:sz w:val="26"/>
          <w:szCs w:val="26"/>
        </w:rPr>
        <w:t xml:space="preserve"> и иные выплаты населению – 0,86</w:t>
      </w:r>
      <w:r w:rsidR="00A90478" w:rsidRPr="002F2D48">
        <w:rPr>
          <w:sz w:val="26"/>
          <w:szCs w:val="26"/>
        </w:rPr>
        <w:t xml:space="preserve"> %, обслужив</w:t>
      </w:r>
      <w:r w:rsidR="003A6F47" w:rsidRPr="002F2D48">
        <w:rPr>
          <w:sz w:val="26"/>
          <w:szCs w:val="26"/>
        </w:rPr>
        <w:t>ание муниципального долга – 0,01</w:t>
      </w:r>
      <w:r w:rsidR="00A90478" w:rsidRPr="002F2D48">
        <w:rPr>
          <w:sz w:val="26"/>
          <w:szCs w:val="26"/>
        </w:rPr>
        <w:t xml:space="preserve"> % </w:t>
      </w:r>
      <w:r w:rsidR="00216CDA" w:rsidRPr="002F2D48">
        <w:rPr>
          <w:sz w:val="26"/>
          <w:szCs w:val="26"/>
        </w:rPr>
        <w:t xml:space="preserve">от исполненных </w:t>
      </w:r>
      <w:r w:rsidR="003A6F47" w:rsidRPr="002F2D48">
        <w:rPr>
          <w:sz w:val="26"/>
          <w:szCs w:val="26"/>
        </w:rPr>
        <w:t xml:space="preserve">бюджетных </w:t>
      </w:r>
      <w:r w:rsidR="00216CDA" w:rsidRPr="002F2D48">
        <w:rPr>
          <w:sz w:val="26"/>
          <w:szCs w:val="26"/>
        </w:rPr>
        <w:t>назначений.</w:t>
      </w:r>
    </w:p>
    <w:p w:rsidR="00557064" w:rsidRPr="002F2D48" w:rsidRDefault="005A5C6B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Согласно ф. 0503175 «Сведения о принятых и неисполненных обязательствах получателя бюджетных средств» экономия в результате примене</w:t>
      </w:r>
      <w:r w:rsidR="00E508BE" w:rsidRPr="002F2D48">
        <w:rPr>
          <w:sz w:val="26"/>
          <w:szCs w:val="26"/>
        </w:rPr>
        <w:t>ния конкурентных способов в 2019 году составила в общей сумме 18 773,32</w:t>
      </w:r>
      <w:r w:rsidRPr="002F2D48">
        <w:rPr>
          <w:sz w:val="26"/>
          <w:szCs w:val="26"/>
        </w:rPr>
        <w:t xml:space="preserve"> тыс. руб.</w:t>
      </w:r>
    </w:p>
    <w:p w:rsidR="00BC3C31" w:rsidRPr="002F2D48" w:rsidRDefault="00BC3C31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целом расходы городского бю</w:t>
      </w:r>
      <w:r w:rsidR="00E508BE" w:rsidRPr="002F2D48">
        <w:rPr>
          <w:sz w:val="26"/>
          <w:szCs w:val="26"/>
        </w:rPr>
        <w:t>джета исполнены на 98,11</w:t>
      </w:r>
      <w:r w:rsidRPr="002F2D48">
        <w:rPr>
          <w:sz w:val="26"/>
          <w:szCs w:val="26"/>
        </w:rPr>
        <w:t xml:space="preserve"> %. При этом исполнение по программным расходам составило </w:t>
      </w:r>
      <w:r w:rsidR="00E508BE" w:rsidRPr="002F2D48">
        <w:rPr>
          <w:sz w:val="26"/>
          <w:szCs w:val="26"/>
        </w:rPr>
        <w:t>97,8</w:t>
      </w:r>
      <w:r w:rsidR="00430780" w:rsidRPr="002F2D48">
        <w:rPr>
          <w:sz w:val="26"/>
          <w:szCs w:val="26"/>
        </w:rPr>
        <w:t>8</w:t>
      </w:r>
      <w:r w:rsidRPr="002F2D48">
        <w:rPr>
          <w:sz w:val="26"/>
          <w:szCs w:val="26"/>
        </w:rPr>
        <w:t xml:space="preserve"> % от планового объема бюджетных ассигнований.  Исполнение по непрограммным расходам составило </w:t>
      </w:r>
      <w:r w:rsidR="00E508BE" w:rsidRPr="002F2D48">
        <w:rPr>
          <w:sz w:val="26"/>
          <w:szCs w:val="26"/>
        </w:rPr>
        <w:t>98</w:t>
      </w:r>
      <w:r w:rsidR="0042343A" w:rsidRPr="002F2D48">
        <w:rPr>
          <w:sz w:val="26"/>
          <w:szCs w:val="26"/>
        </w:rPr>
        <w:t>,</w:t>
      </w:r>
      <w:r w:rsidR="00E508BE" w:rsidRPr="002F2D48">
        <w:rPr>
          <w:sz w:val="26"/>
          <w:szCs w:val="26"/>
        </w:rPr>
        <w:t>80</w:t>
      </w:r>
      <w:r w:rsidRPr="002F2D48">
        <w:rPr>
          <w:sz w:val="26"/>
          <w:szCs w:val="26"/>
        </w:rPr>
        <w:t xml:space="preserve"> % от плана.</w:t>
      </w:r>
    </w:p>
    <w:p w:rsidR="00BC3C31" w:rsidRPr="002F2D48" w:rsidRDefault="00E508BE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2019</w:t>
      </w:r>
      <w:r w:rsidR="00BC3C31" w:rsidRPr="002F2D48">
        <w:rPr>
          <w:sz w:val="26"/>
          <w:szCs w:val="26"/>
        </w:rPr>
        <w:t xml:space="preserve"> году расходы </w:t>
      </w:r>
      <w:r w:rsidR="002A7DF5" w:rsidRPr="002F2D48">
        <w:rPr>
          <w:sz w:val="26"/>
          <w:szCs w:val="26"/>
        </w:rPr>
        <w:t xml:space="preserve">как </w:t>
      </w:r>
      <w:r w:rsidR="00BC3C31" w:rsidRPr="002F2D48">
        <w:rPr>
          <w:sz w:val="26"/>
          <w:szCs w:val="26"/>
        </w:rPr>
        <w:t>по непрограммным направлен</w:t>
      </w:r>
      <w:r w:rsidR="0042343A" w:rsidRPr="002F2D48">
        <w:rPr>
          <w:sz w:val="26"/>
          <w:szCs w:val="26"/>
        </w:rPr>
        <w:t>иям деятельности</w:t>
      </w:r>
      <w:r w:rsidR="002A7DF5" w:rsidRPr="002F2D48">
        <w:rPr>
          <w:sz w:val="26"/>
          <w:szCs w:val="26"/>
        </w:rPr>
        <w:t>, так и</w:t>
      </w:r>
      <w:r w:rsidR="0042343A" w:rsidRPr="002F2D48">
        <w:rPr>
          <w:sz w:val="26"/>
          <w:szCs w:val="26"/>
        </w:rPr>
        <w:t xml:space="preserve"> </w:t>
      </w:r>
      <w:r w:rsidR="002A7DF5" w:rsidRPr="002F2D48">
        <w:rPr>
          <w:sz w:val="26"/>
          <w:szCs w:val="26"/>
        </w:rPr>
        <w:t xml:space="preserve">по программным </w:t>
      </w:r>
      <w:r w:rsidR="0042343A" w:rsidRPr="002F2D48">
        <w:rPr>
          <w:sz w:val="26"/>
          <w:szCs w:val="26"/>
        </w:rPr>
        <w:t>осуществляли</w:t>
      </w:r>
      <w:r w:rsidR="00357309" w:rsidRPr="002F2D48">
        <w:rPr>
          <w:sz w:val="26"/>
          <w:szCs w:val="26"/>
        </w:rPr>
        <w:t>сь</w:t>
      </w:r>
      <w:r w:rsidR="0042343A" w:rsidRPr="002F2D48">
        <w:rPr>
          <w:sz w:val="26"/>
          <w:szCs w:val="26"/>
        </w:rPr>
        <w:t xml:space="preserve"> </w:t>
      </w:r>
      <w:r w:rsidR="00723D2A">
        <w:rPr>
          <w:sz w:val="26"/>
          <w:szCs w:val="26"/>
        </w:rPr>
        <w:t>четырьмя</w:t>
      </w:r>
      <w:r w:rsidR="00357309" w:rsidRPr="002F2D48">
        <w:rPr>
          <w:sz w:val="26"/>
          <w:szCs w:val="26"/>
        </w:rPr>
        <w:t xml:space="preserve"> главными</w:t>
      </w:r>
      <w:r w:rsidR="0042343A" w:rsidRPr="002F2D48">
        <w:rPr>
          <w:sz w:val="26"/>
          <w:szCs w:val="26"/>
        </w:rPr>
        <w:t xml:space="preserve"> распорядителя</w:t>
      </w:r>
      <w:r w:rsidR="00357309" w:rsidRPr="002F2D48">
        <w:rPr>
          <w:sz w:val="26"/>
          <w:szCs w:val="26"/>
        </w:rPr>
        <w:t>ми</w:t>
      </w:r>
      <w:r w:rsidR="00BC3C31" w:rsidRPr="002F2D48">
        <w:rPr>
          <w:sz w:val="26"/>
          <w:szCs w:val="26"/>
        </w:rPr>
        <w:t xml:space="preserve"> бюджетных средств</w:t>
      </w:r>
      <w:r w:rsidR="002A7DF5" w:rsidRPr="002F2D48">
        <w:rPr>
          <w:sz w:val="26"/>
          <w:szCs w:val="26"/>
        </w:rPr>
        <w:t xml:space="preserve"> городского бюджета</w:t>
      </w:r>
      <w:r w:rsidR="00BC3C31" w:rsidRPr="002F2D48">
        <w:rPr>
          <w:sz w:val="26"/>
          <w:szCs w:val="26"/>
        </w:rPr>
        <w:t>.</w:t>
      </w:r>
    </w:p>
    <w:p w:rsidR="00C36721" w:rsidRPr="002F2D48" w:rsidRDefault="00C36721" w:rsidP="00C36721">
      <w:pPr>
        <w:widowControl w:val="0"/>
        <w:shd w:val="clear" w:color="auto" w:fill="FFFFFF"/>
        <w:tabs>
          <w:tab w:val="left" w:pos="0"/>
        </w:tabs>
        <w:spacing w:line="276" w:lineRule="auto"/>
        <w:outlineLvl w:val="2"/>
        <w:rPr>
          <w:sz w:val="16"/>
          <w:szCs w:val="16"/>
        </w:rPr>
      </w:pPr>
    </w:p>
    <w:p w:rsidR="00484525" w:rsidRPr="002F2D48" w:rsidRDefault="00026E27" w:rsidP="00C36721">
      <w:pPr>
        <w:pStyle w:val="af8"/>
        <w:widowControl w:val="0"/>
        <w:numPr>
          <w:ilvl w:val="1"/>
          <w:numId w:val="42"/>
        </w:numPr>
        <w:shd w:val="clear" w:color="auto" w:fill="FFFFFF"/>
        <w:tabs>
          <w:tab w:val="left" w:pos="0"/>
        </w:tabs>
        <w:spacing w:line="276" w:lineRule="auto"/>
        <w:ind w:left="142" w:firstLine="567"/>
        <w:outlineLvl w:val="2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 xml:space="preserve">Анализ </w:t>
      </w:r>
      <w:r w:rsidRPr="002F2D48">
        <w:rPr>
          <w:b/>
          <w:bCs/>
          <w:sz w:val="26"/>
          <w:szCs w:val="26"/>
        </w:rPr>
        <w:t>исполнения</w:t>
      </w:r>
      <w:r w:rsidR="00484525" w:rsidRPr="002F2D48">
        <w:rPr>
          <w:b/>
          <w:bCs/>
          <w:sz w:val="26"/>
          <w:szCs w:val="26"/>
        </w:rPr>
        <w:t xml:space="preserve"> муниципальных программ</w:t>
      </w:r>
    </w:p>
    <w:p w:rsidR="0050118E" w:rsidRPr="002F2D48" w:rsidRDefault="0050118E" w:rsidP="00C36721">
      <w:pPr>
        <w:pStyle w:val="af8"/>
        <w:autoSpaceDE w:val="0"/>
        <w:autoSpaceDN w:val="0"/>
        <w:adjustRightInd w:val="0"/>
        <w:spacing w:line="276" w:lineRule="auto"/>
        <w:ind w:left="0" w:firstLine="709"/>
        <w:rPr>
          <w:sz w:val="16"/>
          <w:szCs w:val="16"/>
        </w:rPr>
      </w:pPr>
    </w:p>
    <w:p w:rsidR="0050118E" w:rsidRPr="002F2D48" w:rsidRDefault="0050118E" w:rsidP="00680F29">
      <w:pPr>
        <w:pStyle w:val="af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расходов городского бюджета осуществлялось по программно-целевому принципу путем реализац</w:t>
      </w:r>
      <w:r w:rsidR="00D80E46" w:rsidRPr="002F2D48">
        <w:rPr>
          <w:sz w:val="26"/>
          <w:szCs w:val="26"/>
        </w:rPr>
        <w:t>ии 13</w:t>
      </w:r>
      <w:r w:rsidRPr="002F2D48">
        <w:rPr>
          <w:sz w:val="26"/>
          <w:szCs w:val="26"/>
        </w:rPr>
        <w:t xml:space="preserve"> муниципальных программ.</w:t>
      </w:r>
    </w:p>
    <w:p w:rsidR="0007293E" w:rsidRPr="002F2D48" w:rsidRDefault="0007293E" w:rsidP="00680F29">
      <w:pPr>
        <w:pStyle w:val="af8"/>
        <w:widowControl w:val="0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outlineLvl w:val="2"/>
        <w:rPr>
          <w:sz w:val="26"/>
          <w:szCs w:val="26"/>
        </w:rPr>
      </w:pPr>
      <w:r w:rsidRPr="002F2D48">
        <w:rPr>
          <w:sz w:val="26"/>
          <w:szCs w:val="26"/>
        </w:rPr>
        <w:t>Анализ исполнения городского бюджета по муниципальным программам осуществлен исходя из отчета об испол</w:t>
      </w:r>
      <w:r w:rsidR="00D80E46" w:rsidRPr="002F2D48">
        <w:rPr>
          <w:sz w:val="26"/>
          <w:szCs w:val="26"/>
        </w:rPr>
        <w:t>нении городского бюджета за 2019</w:t>
      </w:r>
      <w:r w:rsidRPr="002F2D48">
        <w:rPr>
          <w:sz w:val="26"/>
          <w:szCs w:val="26"/>
        </w:rPr>
        <w:t xml:space="preserve"> год (ф. 0503117) и </w:t>
      </w:r>
      <w:r w:rsidRPr="002F2D48">
        <w:rPr>
          <w:bCs/>
          <w:sz w:val="26"/>
          <w:szCs w:val="26"/>
        </w:rPr>
        <w:t>годовой бюджетной отчетности ГАБС</w:t>
      </w:r>
      <w:r w:rsidRPr="002F2D48">
        <w:rPr>
          <w:sz w:val="26"/>
          <w:szCs w:val="26"/>
        </w:rPr>
        <w:t xml:space="preserve">. </w:t>
      </w:r>
    </w:p>
    <w:p w:rsidR="00026E27" w:rsidRPr="002F2D48" w:rsidRDefault="0007293E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</w:t>
      </w:r>
      <w:r w:rsidR="000F5C8C" w:rsidRPr="002F2D48">
        <w:rPr>
          <w:sz w:val="26"/>
          <w:szCs w:val="26"/>
        </w:rPr>
        <w:t xml:space="preserve">Пояснительная записка к отчету </w:t>
      </w:r>
      <w:r w:rsidR="00254064" w:rsidRPr="002F2D48">
        <w:rPr>
          <w:sz w:val="26"/>
          <w:szCs w:val="26"/>
        </w:rPr>
        <w:t>об испол</w:t>
      </w:r>
      <w:r w:rsidR="00D80E46" w:rsidRPr="002F2D48">
        <w:rPr>
          <w:sz w:val="26"/>
          <w:szCs w:val="26"/>
        </w:rPr>
        <w:t>нении городского бюджета за 2019</w:t>
      </w:r>
      <w:r w:rsidR="00254064" w:rsidRPr="002F2D48">
        <w:rPr>
          <w:sz w:val="26"/>
          <w:szCs w:val="26"/>
        </w:rPr>
        <w:t xml:space="preserve"> год </w:t>
      </w:r>
      <w:r w:rsidR="000F5C8C" w:rsidRPr="002F2D48">
        <w:rPr>
          <w:sz w:val="26"/>
          <w:szCs w:val="26"/>
        </w:rPr>
        <w:t xml:space="preserve">содержит </w:t>
      </w:r>
      <w:r w:rsidR="00D80E46" w:rsidRPr="002F2D48">
        <w:rPr>
          <w:sz w:val="26"/>
          <w:szCs w:val="26"/>
        </w:rPr>
        <w:t xml:space="preserve">недостаточный объем </w:t>
      </w:r>
      <w:r w:rsidR="000F5C8C" w:rsidRPr="002F2D48">
        <w:rPr>
          <w:sz w:val="26"/>
          <w:szCs w:val="26"/>
        </w:rPr>
        <w:t>информации об исполнении муниципальных программ, что не дает возможность оценить</w:t>
      </w:r>
      <w:r w:rsidR="00254064" w:rsidRPr="002F2D48">
        <w:rPr>
          <w:sz w:val="26"/>
          <w:szCs w:val="26"/>
        </w:rPr>
        <w:t xml:space="preserve"> достигнутые приоритеты и цели социально-экономического развития</w:t>
      </w:r>
      <w:r w:rsidR="000F5C8C" w:rsidRPr="002F2D48">
        <w:rPr>
          <w:sz w:val="26"/>
          <w:szCs w:val="26"/>
        </w:rPr>
        <w:t xml:space="preserve"> </w:t>
      </w:r>
      <w:r w:rsidR="00254064" w:rsidRPr="002F2D48">
        <w:rPr>
          <w:sz w:val="26"/>
          <w:szCs w:val="26"/>
        </w:rPr>
        <w:t>городского поселения,</w:t>
      </w:r>
      <w:r w:rsidR="00251492" w:rsidRPr="002F2D48">
        <w:rPr>
          <w:sz w:val="26"/>
          <w:szCs w:val="26"/>
        </w:rPr>
        <w:t xml:space="preserve"> </w:t>
      </w:r>
      <w:r w:rsidR="00254064" w:rsidRPr="002F2D48">
        <w:rPr>
          <w:sz w:val="26"/>
          <w:szCs w:val="26"/>
        </w:rPr>
        <w:t>эффективность использования затраченных бюджетных ресурсов, учитывая</w:t>
      </w:r>
      <w:r w:rsidR="00BE4D7C" w:rsidRPr="002F2D48">
        <w:rPr>
          <w:sz w:val="26"/>
          <w:szCs w:val="26"/>
        </w:rPr>
        <w:t xml:space="preserve"> тот факт</w:t>
      </w:r>
      <w:r w:rsidR="00254064" w:rsidRPr="002F2D48">
        <w:rPr>
          <w:sz w:val="26"/>
          <w:szCs w:val="26"/>
        </w:rPr>
        <w:t>, что городской бюдж</w:t>
      </w:r>
      <w:r w:rsidR="00D80E46" w:rsidRPr="002F2D48">
        <w:rPr>
          <w:sz w:val="26"/>
          <w:szCs w:val="26"/>
        </w:rPr>
        <w:t>ет на три четверти (74,92</w:t>
      </w:r>
      <w:r w:rsidR="00254064" w:rsidRPr="002F2D48">
        <w:rPr>
          <w:sz w:val="26"/>
          <w:szCs w:val="26"/>
        </w:rPr>
        <w:t xml:space="preserve"> %) состоит из программных расходов. </w:t>
      </w:r>
      <w:r w:rsidRPr="002F2D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659" w:rsidRPr="002F2D48" w:rsidRDefault="004F3659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Планируемый объем финансирован</w:t>
      </w:r>
      <w:r w:rsidR="00D80E46" w:rsidRPr="002F2D48">
        <w:rPr>
          <w:sz w:val="26"/>
          <w:szCs w:val="26"/>
        </w:rPr>
        <w:t>ия муниципальных программ в 2019</w:t>
      </w:r>
      <w:r w:rsidRPr="002F2D48">
        <w:rPr>
          <w:sz w:val="26"/>
          <w:szCs w:val="26"/>
        </w:rPr>
        <w:t xml:space="preserve"> году согласно показателям сводно</w:t>
      </w:r>
      <w:r w:rsidR="00D80E46" w:rsidRPr="002F2D48">
        <w:rPr>
          <w:sz w:val="26"/>
          <w:szCs w:val="26"/>
        </w:rPr>
        <w:t>й бюджетной росписи составил 723 862,35 тыс. руб. или    75,10</w:t>
      </w:r>
      <w:r w:rsidRPr="002F2D48">
        <w:rPr>
          <w:sz w:val="26"/>
          <w:szCs w:val="26"/>
        </w:rPr>
        <w:t xml:space="preserve"> % от общего объема утвержденных расходов. Фактически программные мероприятия муниципальных программ были профинансированы в сумме</w:t>
      </w:r>
      <w:r w:rsidR="0010132B" w:rsidRPr="002F2D48">
        <w:rPr>
          <w:sz w:val="26"/>
          <w:szCs w:val="26"/>
        </w:rPr>
        <w:t xml:space="preserve"> 708 493,</w:t>
      </w:r>
      <w:r w:rsidRPr="002F2D48">
        <w:rPr>
          <w:sz w:val="26"/>
          <w:szCs w:val="26"/>
        </w:rPr>
        <w:t>4</w:t>
      </w:r>
      <w:r w:rsidR="0010132B" w:rsidRPr="002F2D48">
        <w:rPr>
          <w:sz w:val="26"/>
          <w:szCs w:val="26"/>
        </w:rPr>
        <w:t>6 тыс. руб. или   97,88</w:t>
      </w:r>
      <w:r w:rsidRPr="002F2D48">
        <w:rPr>
          <w:sz w:val="26"/>
          <w:szCs w:val="26"/>
        </w:rPr>
        <w:t xml:space="preserve"> % от </w:t>
      </w:r>
      <w:r w:rsidR="0010132B" w:rsidRPr="002F2D48">
        <w:rPr>
          <w:sz w:val="26"/>
          <w:szCs w:val="26"/>
        </w:rPr>
        <w:t xml:space="preserve">планового </w:t>
      </w:r>
      <w:r w:rsidRPr="002F2D48">
        <w:rPr>
          <w:sz w:val="26"/>
          <w:szCs w:val="26"/>
        </w:rPr>
        <w:t>объема.</w:t>
      </w:r>
    </w:p>
    <w:p w:rsidR="00216CDA" w:rsidRPr="002F2D48" w:rsidRDefault="0072013E" w:rsidP="00680F2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Перечень муниципальных программ, исполнение и их удельный вес в программных расходах представлен в </w:t>
      </w:r>
      <w:r w:rsidR="000131BC" w:rsidRPr="002F2D48">
        <w:rPr>
          <w:sz w:val="26"/>
          <w:szCs w:val="26"/>
        </w:rPr>
        <w:t>т</w:t>
      </w:r>
      <w:r w:rsidRPr="002F2D48">
        <w:rPr>
          <w:sz w:val="26"/>
          <w:szCs w:val="26"/>
        </w:rPr>
        <w:t xml:space="preserve">аблице </w:t>
      </w:r>
      <w:r w:rsidR="008E3290" w:rsidRPr="002F2D48">
        <w:rPr>
          <w:sz w:val="26"/>
          <w:szCs w:val="26"/>
        </w:rPr>
        <w:t>6</w:t>
      </w:r>
      <w:r w:rsidRPr="002F2D48">
        <w:rPr>
          <w:sz w:val="26"/>
          <w:szCs w:val="26"/>
        </w:rPr>
        <w:t>.</w:t>
      </w: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9E4978" w:rsidRDefault="009E4978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</w:p>
    <w:p w:rsidR="0072013E" w:rsidRPr="002F2D48" w:rsidRDefault="00F14CFB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8E3290" w:rsidRPr="002F2D48">
        <w:rPr>
          <w:sz w:val="26"/>
          <w:szCs w:val="26"/>
        </w:rPr>
        <w:t>6</w:t>
      </w:r>
    </w:p>
    <w:tbl>
      <w:tblPr>
        <w:tblW w:w="1027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07"/>
        <w:gridCol w:w="5319"/>
        <w:gridCol w:w="1134"/>
        <w:gridCol w:w="1134"/>
        <w:gridCol w:w="1134"/>
        <w:gridCol w:w="1044"/>
      </w:tblGrid>
      <w:tr w:rsidR="00793148" w:rsidRPr="002F2D48" w:rsidTr="00772D3E">
        <w:trPr>
          <w:trHeight w:val="10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793148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№ МП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793148" w:rsidP="00772D3E">
            <w:pPr>
              <w:ind w:left="-108" w:right="-59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793148" w:rsidP="00772D3E">
            <w:pPr>
              <w:ind w:left="-157" w:right="-102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Исполнено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793148" w:rsidP="00772D3E">
            <w:pPr>
              <w:ind w:left="-114" w:right="-82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793148" w:rsidP="00772D3E">
            <w:pPr>
              <w:ind w:left="-134" w:right="-56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Доля % в общем объеме </w:t>
            </w:r>
            <w:r w:rsidR="00F22E20" w:rsidRPr="002F2D48">
              <w:rPr>
                <w:sz w:val="20"/>
                <w:szCs w:val="20"/>
              </w:rPr>
              <w:t xml:space="preserve">исп. </w:t>
            </w:r>
            <w:r w:rsidRPr="002F2D48">
              <w:rPr>
                <w:sz w:val="20"/>
                <w:szCs w:val="20"/>
              </w:rPr>
              <w:t>прогр. расходов</w:t>
            </w:r>
          </w:p>
        </w:tc>
      </w:tr>
      <w:tr w:rsidR="00793148" w:rsidRPr="002F2D48" w:rsidTr="00772D3E">
        <w:trPr>
          <w:trHeight w:val="1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</w:t>
            </w:r>
          </w:p>
        </w:tc>
      </w:tr>
      <w:tr w:rsidR="00793148" w:rsidRPr="002F2D48" w:rsidTr="00772D3E">
        <w:trPr>
          <w:trHeight w:val="4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1B38D4" w:rsidP="00F14CFB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</w:t>
            </w:r>
            <w:r w:rsidR="00F14CFB" w:rsidRPr="002F2D48">
              <w:rPr>
                <w:sz w:val="20"/>
                <w:szCs w:val="20"/>
              </w:rPr>
              <w:t>«Развитие транспортной системы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101 680,75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3B137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101</w:t>
            </w:r>
            <w:r w:rsidR="00F14CFB" w:rsidRPr="002F2D48">
              <w:rPr>
                <w:sz w:val="20"/>
                <w:szCs w:val="20"/>
              </w:rPr>
              <w:t> </w:t>
            </w:r>
            <w:r w:rsidRPr="002F2D48">
              <w:rPr>
                <w:sz w:val="20"/>
                <w:szCs w:val="20"/>
              </w:rPr>
              <w:t>545,35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14,33</w:t>
            </w:r>
          </w:p>
        </w:tc>
      </w:tr>
      <w:tr w:rsidR="00793148" w:rsidRPr="002F2D48" w:rsidTr="00772D3E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5C3346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«Реформирование и модернизация ЖКХ и повышение энергетической эффективности в муниципальном образовании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21 943,41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21 897,91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B137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3,09</w:t>
            </w:r>
          </w:p>
        </w:tc>
      </w:tr>
      <w:tr w:rsidR="00793148" w:rsidRPr="002F2D48" w:rsidTr="00772D3E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5C3346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«Благоустройство и жилищное хозяйство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112 684,14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98 335</w:t>
            </w:r>
            <w:r w:rsidR="005C3346" w:rsidRPr="002F2D48">
              <w:rPr>
                <w:sz w:val="20"/>
                <w:szCs w:val="20"/>
              </w:rPr>
              <w:t>,</w:t>
            </w:r>
            <w:r w:rsidRPr="002F2D4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87,27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13,88</w:t>
            </w:r>
          </w:p>
        </w:tc>
      </w:tr>
      <w:tr w:rsidR="00793148" w:rsidRPr="002F2D48" w:rsidTr="00772D3E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1B38D4" w:rsidP="004A48EC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</w:t>
            </w:r>
            <w:r w:rsidR="004A48EC" w:rsidRPr="002F2D48">
              <w:rPr>
                <w:sz w:val="20"/>
                <w:szCs w:val="20"/>
              </w:rPr>
              <w:t>«Обеспечение государственных и муниципальных гарантий в муниципальном образовании "Город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5 648,14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5 648,14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0,80</w:t>
            </w:r>
          </w:p>
        </w:tc>
      </w:tr>
      <w:tr w:rsidR="00793148" w:rsidRPr="002F2D48" w:rsidTr="00772D3E">
        <w:trPr>
          <w:trHeight w:val="4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1B38D4" w:rsidP="002939B9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</w:t>
            </w:r>
            <w:r w:rsidR="002939B9" w:rsidRPr="002F2D48">
              <w:rPr>
                <w:sz w:val="20"/>
                <w:szCs w:val="20"/>
              </w:rPr>
              <w:t>«Создание условий для сдерживания роста цен на хлеб, реализуемый населению в поселках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6 800,01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6 800,01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0,96</w:t>
            </w:r>
          </w:p>
        </w:tc>
      </w:tr>
      <w:tr w:rsidR="00793148" w:rsidRPr="002F2D48" w:rsidTr="00772D3E">
        <w:trPr>
          <w:trHeight w:val="4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4A48EC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«Поселок – наш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6 603,78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6 601,91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191C68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0,93</w:t>
            </w:r>
          </w:p>
        </w:tc>
      </w:tr>
      <w:tr w:rsidR="00793148" w:rsidRPr="002F2D48" w:rsidTr="00772D3E">
        <w:trPr>
          <w:trHeight w:val="5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5C3346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«Культура города Дудинки»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344 222,00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344 001</w:t>
            </w:r>
            <w:r w:rsidR="002939B9" w:rsidRPr="002F2D48">
              <w:rPr>
                <w:sz w:val="20"/>
                <w:szCs w:val="20"/>
              </w:rPr>
              <w:t>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86670A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48,55</w:t>
            </w:r>
          </w:p>
        </w:tc>
      </w:tr>
      <w:tr w:rsidR="00793148" w:rsidRPr="002F2D48" w:rsidTr="00772D3E">
        <w:trPr>
          <w:trHeight w:val="5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2939B9" w:rsidP="001B38D4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«Развитие молодежной политики и спорта на территории муниципального образования "Город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80 141,60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80 141,60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70A6C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D03F4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11,31</w:t>
            </w:r>
          </w:p>
        </w:tc>
      </w:tr>
      <w:tr w:rsidR="00793148" w:rsidRPr="002F2D48" w:rsidTr="00772D3E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8E32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</w:t>
            </w:r>
            <w:r w:rsidR="00793148" w:rsidRPr="002F2D48">
              <w:rPr>
                <w:sz w:val="20"/>
                <w:szCs w:val="20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1B38D4" w:rsidP="00F87913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</w:t>
            </w:r>
            <w:r w:rsidR="00F87913" w:rsidRPr="002F2D48">
              <w:rPr>
                <w:sz w:val="20"/>
                <w:szCs w:val="20"/>
              </w:rPr>
              <w:t xml:space="preserve"> 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15 626,08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15 609,6</w:t>
            </w:r>
            <w:r w:rsidR="00F87913" w:rsidRPr="002F2D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99,89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D03F4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2,20</w:t>
            </w:r>
          </w:p>
          <w:p w:rsidR="00370A6C" w:rsidRPr="002F2D48" w:rsidRDefault="00370A6C" w:rsidP="00F14CFB">
            <w:pPr>
              <w:jc w:val="right"/>
              <w:rPr>
                <w:sz w:val="20"/>
                <w:szCs w:val="20"/>
              </w:rPr>
            </w:pPr>
          </w:p>
        </w:tc>
      </w:tr>
      <w:tr w:rsidR="00793148" w:rsidRPr="002F2D48" w:rsidTr="00772D3E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F87913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10 949,49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793148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10 349,57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94,52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D03F4" w:rsidP="00F14CFB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1,46</w:t>
            </w:r>
          </w:p>
          <w:p w:rsidR="00370A6C" w:rsidRPr="002F2D48" w:rsidRDefault="00370A6C" w:rsidP="00F14CFB">
            <w:pPr>
              <w:jc w:val="right"/>
              <w:rPr>
                <w:sz w:val="20"/>
                <w:szCs w:val="20"/>
              </w:rPr>
            </w:pPr>
          </w:p>
        </w:tc>
      </w:tr>
      <w:tr w:rsidR="00793148" w:rsidRPr="002F2D48" w:rsidTr="00257990">
        <w:trPr>
          <w:trHeight w:val="4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1B38D4" w:rsidP="001B38D4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</w:t>
            </w:r>
            <w:r w:rsidR="00793148" w:rsidRPr="002F2D48">
              <w:rPr>
                <w:sz w:val="20"/>
                <w:szCs w:val="20"/>
              </w:rPr>
              <w:t xml:space="preserve">Устойчивое функционирование системы воинского учета на территории муниципального образования </w:t>
            </w:r>
            <w:r w:rsidRPr="002F2D48">
              <w:rPr>
                <w:sz w:val="20"/>
                <w:szCs w:val="20"/>
              </w:rPr>
              <w:t>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7 019,33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7 019,33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3D03F4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0,99</w:t>
            </w:r>
          </w:p>
        </w:tc>
      </w:tr>
      <w:tr w:rsidR="00257990" w:rsidRPr="002F2D48" w:rsidTr="00257990">
        <w:trPr>
          <w:trHeight w:val="4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90" w:rsidRPr="002F2D48" w:rsidRDefault="00257990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90" w:rsidRPr="002F2D48" w:rsidRDefault="009E1766" w:rsidP="009E176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«Формирование современной городской среды» 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90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10 525,61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90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10 525,61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90" w:rsidRPr="002F2D48" w:rsidRDefault="007F03F9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90" w:rsidRPr="002F2D48" w:rsidRDefault="003D03F4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1,49</w:t>
            </w:r>
          </w:p>
        </w:tc>
      </w:tr>
      <w:tr w:rsidR="007F03F9" w:rsidRPr="002F2D48" w:rsidTr="00257990">
        <w:trPr>
          <w:trHeight w:val="49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F9" w:rsidRPr="002F2D48" w:rsidRDefault="007F03F9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F9" w:rsidRPr="002F2D48" w:rsidRDefault="00B31C96" w:rsidP="00B31C96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</w:t>
            </w:r>
            <w:r w:rsidR="007F03F9" w:rsidRPr="002F2D48">
              <w:rPr>
                <w:sz w:val="20"/>
                <w:szCs w:val="20"/>
              </w:rPr>
              <w:t>Формирование законопослушного поведения участ</w:t>
            </w:r>
            <w:r w:rsidRPr="002F2D48">
              <w:rPr>
                <w:sz w:val="20"/>
                <w:szCs w:val="20"/>
              </w:rPr>
              <w:t>ников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F9" w:rsidRPr="002F2D48" w:rsidRDefault="00B31C96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F9" w:rsidRPr="002F2D48" w:rsidRDefault="00B31C96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F9" w:rsidRPr="002F2D48" w:rsidRDefault="00B31C96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3F9" w:rsidRPr="002F2D48" w:rsidRDefault="003D03F4" w:rsidP="00A042C4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0,</w:t>
            </w:r>
            <w:r w:rsidR="00C5610F" w:rsidRPr="002F2D48">
              <w:rPr>
                <w:sz w:val="20"/>
                <w:szCs w:val="20"/>
              </w:rPr>
              <w:t>003</w:t>
            </w:r>
          </w:p>
        </w:tc>
      </w:tr>
      <w:tr w:rsidR="00793148" w:rsidRPr="002F2D48" w:rsidTr="003B137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48" w:rsidRPr="002F2D48" w:rsidRDefault="00793148" w:rsidP="00793148">
            <w:pPr>
              <w:rPr>
                <w:rFonts w:ascii="Calibri" w:hAnsi="Calibri" w:cs="Calibri"/>
                <w:sz w:val="20"/>
                <w:szCs w:val="20"/>
              </w:rPr>
            </w:pPr>
            <w:r w:rsidRPr="002F2D4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2F2D48" w:rsidRDefault="008E3290" w:rsidP="008E3290">
            <w:pPr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ВСЕГО</w:t>
            </w:r>
            <w:r w:rsidR="00793148" w:rsidRPr="002F2D4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A042C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7</w:t>
            </w:r>
            <w:r w:rsidR="00B31C96" w:rsidRPr="002F2D48">
              <w:rPr>
                <w:b/>
                <w:sz w:val="20"/>
                <w:szCs w:val="20"/>
              </w:rPr>
              <w:t>23 862,35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B31C96" w:rsidP="00A042C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708 493,46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48" w:rsidRPr="002F2D48" w:rsidRDefault="00B31C96" w:rsidP="00A042C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97,88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2F2D48" w:rsidRDefault="00793148" w:rsidP="00A042C4">
            <w:pPr>
              <w:jc w:val="right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100</w:t>
            </w:r>
            <w:r w:rsidR="00E21A26" w:rsidRPr="002F2D48">
              <w:rPr>
                <w:b/>
                <w:sz w:val="20"/>
                <w:szCs w:val="20"/>
              </w:rPr>
              <w:t>,00</w:t>
            </w:r>
          </w:p>
        </w:tc>
      </w:tr>
    </w:tbl>
    <w:p w:rsidR="007C6E49" w:rsidRPr="002F2D48" w:rsidRDefault="007C6E49" w:rsidP="00484525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CA391A" w:rsidRPr="00CA391A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Из представленных в таблице 6 данных следует, что исполнение программных мероприят</w:t>
      </w:r>
      <w:r w:rsidR="003D03F4" w:rsidRPr="002F2D48">
        <w:rPr>
          <w:sz w:val="26"/>
          <w:szCs w:val="26"/>
        </w:rPr>
        <w:t>ий муниципальных программ в 2019</w:t>
      </w:r>
      <w:r w:rsidRPr="002F2D48">
        <w:rPr>
          <w:sz w:val="26"/>
          <w:szCs w:val="26"/>
        </w:rPr>
        <w:t xml:space="preserve"> году н</w:t>
      </w:r>
      <w:r w:rsidR="003D03F4" w:rsidRPr="002F2D48">
        <w:rPr>
          <w:sz w:val="26"/>
          <w:szCs w:val="26"/>
        </w:rPr>
        <w:t>а уровне 100 % сложилось по шести</w:t>
      </w:r>
      <w:r w:rsidR="00C5610F" w:rsidRPr="002F2D48">
        <w:rPr>
          <w:sz w:val="26"/>
          <w:szCs w:val="26"/>
        </w:rPr>
        <w:t xml:space="preserve"> </w:t>
      </w:r>
      <w:r w:rsidR="00C5610F" w:rsidRPr="00CA391A">
        <w:rPr>
          <w:sz w:val="26"/>
          <w:szCs w:val="26"/>
        </w:rPr>
        <w:t xml:space="preserve">программам </w:t>
      </w:r>
      <w:r w:rsidR="00CA391A" w:rsidRPr="00CA391A">
        <w:rPr>
          <w:sz w:val="26"/>
          <w:szCs w:val="26"/>
        </w:rPr>
        <w:t>в основном с небольшой долей расходов в общем объеме исполненных программных расходов.</w:t>
      </w:r>
    </w:p>
    <w:p w:rsidR="00464E83" w:rsidRPr="002F2D48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програ</w:t>
      </w:r>
      <w:r w:rsidR="0011212E" w:rsidRPr="002F2D48">
        <w:rPr>
          <w:sz w:val="26"/>
          <w:szCs w:val="26"/>
        </w:rPr>
        <w:t>ммных мероприятий по остальным 7</w:t>
      </w:r>
      <w:r w:rsidRPr="002F2D48">
        <w:rPr>
          <w:sz w:val="26"/>
          <w:szCs w:val="26"/>
        </w:rPr>
        <w:t xml:space="preserve"> муниципальным прог</w:t>
      </w:r>
      <w:r w:rsidR="004F3659" w:rsidRPr="002F2D48">
        <w:rPr>
          <w:sz w:val="26"/>
          <w:szCs w:val="26"/>
        </w:rPr>
        <w:t xml:space="preserve">раммам </w:t>
      </w:r>
      <w:r w:rsidR="0011212E" w:rsidRPr="002F2D48">
        <w:rPr>
          <w:sz w:val="26"/>
          <w:szCs w:val="26"/>
        </w:rPr>
        <w:t>сложилось в пределах от 87</w:t>
      </w:r>
      <w:r w:rsidRPr="002F2D48">
        <w:rPr>
          <w:sz w:val="26"/>
          <w:szCs w:val="26"/>
        </w:rPr>
        <w:t>,</w:t>
      </w:r>
      <w:r w:rsidR="0011212E" w:rsidRPr="002F2D48">
        <w:rPr>
          <w:sz w:val="26"/>
          <w:szCs w:val="26"/>
        </w:rPr>
        <w:t>27</w:t>
      </w:r>
      <w:r w:rsidRPr="002F2D48">
        <w:rPr>
          <w:sz w:val="26"/>
          <w:szCs w:val="26"/>
        </w:rPr>
        <w:t xml:space="preserve"> % до 99,</w:t>
      </w:r>
      <w:r w:rsidR="0011212E" w:rsidRPr="002F2D48">
        <w:rPr>
          <w:sz w:val="26"/>
          <w:szCs w:val="26"/>
        </w:rPr>
        <w:t>97</w:t>
      </w:r>
      <w:r w:rsidRPr="002F2D48">
        <w:rPr>
          <w:sz w:val="26"/>
          <w:szCs w:val="26"/>
        </w:rPr>
        <w:t xml:space="preserve"> %.</w:t>
      </w:r>
    </w:p>
    <w:p w:rsidR="00960AB6" w:rsidRPr="002F2D48" w:rsidRDefault="00464E83" w:rsidP="00A90E74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Объем </w:t>
      </w:r>
      <w:r w:rsidRPr="00CC79AA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п</w:t>
      </w:r>
      <w:r w:rsidR="0011212E" w:rsidRPr="002F2D48">
        <w:rPr>
          <w:sz w:val="26"/>
          <w:szCs w:val="26"/>
        </w:rPr>
        <w:t>рограммных расходов составил 15 368,89 тыс. руб. или</w:t>
      </w:r>
      <w:r w:rsidR="0011212E" w:rsidRPr="002F2D48">
        <w:rPr>
          <w:sz w:val="26"/>
          <w:szCs w:val="26"/>
        </w:rPr>
        <w:br/>
        <w:t>2,12</w:t>
      </w:r>
      <w:r w:rsidRPr="002F2D48">
        <w:rPr>
          <w:sz w:val="26"/>
          <w:szCs w:val="26"/>
        </w:rPr>
        <w:t xml:space="preserve"> % от общего объема утвержденных программных расходов. Основное неисполнение от общего объёма неисполненных программных расходов</w:t>
      </w:r>
      <w:r w:rsidR="008F6EEB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составили </w:t>
      </w:r>
      <w:r w:rsidR="00283633" w:rsidRPr="002F2D48">
        <w:rPr>
          <w:sz w:val="26"/>
          <w:szCs w:val="26"/>
        </w:rPr>
        <w:t xml:space="preserve">расходы по </w:t>
      </w:r>
      <w:r w:rsidR="00A90E74" w:rsidRPr="002F2D48">
        <w:rPr>
          <w:sz w:val="26"/>
          <w:szCs w:val="26"/>
        </w:rPr>
        <w:t xml:space="preserve">программе </w:t>
      </w:r>
      <w:r w:rsidR="0035000B" w:rsidRPr="002F2D48">
        <w:rPr>
          <w:sz w:val="26"/>
          <w:szCs w:val="26"/>
        </w:rPr>
        <w:t>«</w:t>
      </w:r>
      <w:r w:rsidR="00F02D49" w:rsidRPr="002F2D48">
        <w:rPr>
          <w:sz w:val="26"/>
          <w:szCs w:val="26"/>
        </w:rPr>
        <w:t>Благоустройство и жилищное хозяйство муниципального образования «Город Дудинка</w:t>
      </w:r>
      <w:r w:rsidR="0035000B" w:rsidRPr="002F2D48">
        <w:rPr>
          <w:sz w:val="26"/>
          <w:szCs w:val="26"/>
        </w:rPr>
        <w:t xml:space="preserve">» где сумма неисполнения составила </w:t>
      </w:r>
      <w:r w:rsidR="00F02D49" w:rsidRPr="002F2D48">
        <w:rPr>
          <w:sz w:val="26"/>
          <w:szCs w:val="26"/>
        </w:rPr>
        <w:t>14 349,11</w:t>
      </w:r>
      <w:r w:rsidR="0035000B" w:rsidRPr="002F2D48">
        <w:rPr>
          <w:sz w:val="26"/>
          <w:szCs w:val="26"/>
        </w:rPr>
        <w:t xml:space="preserve"> тыс. руб. или </w:t>
      </w:r>
      <w:r w:rsidR="00751076" w:rsidRPr="002F2D48">
        <w:rPr>
          <w:sz w:val="26"/>
          <w:szCs w:val="26"/>
        </w:rPr>
        <w:t>1</w:t>
      </w:r>
      <w:r w:rsidR="00F02D49" w:rsidRPr="002F2D48">
        <w:rPr>
          <w:sz w:val="26"/>
          <w:szCs w:val="26"/>
        </w:rPr>
        <w:t>2</w:t>
      </w:r>
      <w:r w:rsidR="00751076" w:rsidRPr="002F2D48">
        <w:rPr>
          <w:sz w:val="26"/>
          <w:szCs w:val="26"/>
        </w:rPr>
        <w:t>,</w:t>
      </w:r>
      <w:r w:rsidR="00F02D49" w:rsidRPr="002F2D48">
        <w:rPr>
          <w:sz w:val="26"/>
          <w:szCs w:val="26"/>
        </w:rPr>
        <w:t>73</w:t>
      </w:r>
      <w:r w:rsidR="0035000B" w:rsidRPr="002F2D48">
        <w:rPr>
          <w:sz w:val="26"/>
          <w:szCs w:val="26"/>
        </w:rPr>
        <w:t xml:space="preserve"> %, что обусловлено </w:t>
      </w:r>
      <w:r w:rsidR="00F02D49" w:rsidRPr="002F2D48">
        <w:rPr>
          <w:sz w:val="26"/>
          <w:szCs w:val="26"/>
        </w:rPr>
        <w:t xml:space="preserve">переносом срока </w:t>
      </w:r>
      <w:r w:rsidR="00C2638B">
        <w:rPr>
          <w:sz w:val="26"/>
          <w:szCs w:val="26"/>
        </w:rPr>
        <w:t>проведения</w:t>
      </w:r>
      <w:r w:rsidR="00375929">
        <w:rPr>
          <w:sz w:val="26"/>
          <w:szCs w:val="26"/>
        </w:rPr>
        <w:t xml:space="preserve"> работ </w:t>
      </w:r>
      <w:r w:rsidR="00F02D49" w:rsidRPr="002F2D48">
        <w:rPr>
          <w:sz w:val="26"/>
          <w:szCs w:val="26"/>
        </w:rPr>
        <w:t>(</w:t>
      </w:r>
      <w:r w:rsidR="00960AB6" w:rsidRPr="002F2D48">
        <w:rPr>
          <w:sz w:val="26"/>
          <w:szCs w:val="26"/>
        </w:rPr>
        <w:t xml:space="preserve">на 2020 год) </w:t>
      </w:r>
      <w:r w:rsidR="00375929">
        <w:rPr>
          <w:sz w:val="26"/>
          <w:szCs w:val="26"/>
        </w:rPr>
        <w:t>по оборудованию</w:t>
      </w:r>
      <w:r w:rsidR="00F02D49" w:rsidRPr="002F2D48">
        <w:rPr>
          <w:sz w:val="26"/>
          <w:szCs w:val="26"/>
        </w:rPr>
        <w:t xml:space="preserve"> площадок для установки мусорных контейнеров (</w:t>
      </w:r>
      <w:r w:rsidR="00375929">
        <w:rPr>
          <w:sz w:val="26"/>
          <w:szCs w:val="26"/>
        </w:rPr>
        <w:t xml:space="preserve">в сумме </w:t>
      </w:r>
      <w:r w:rsidR="00F02D49" w:rsidRPr="002F2D48">
        <w:rPr>
          <w:sz w:val="26"/>
          <w:szCs w:val="26"/>
        </w:rPr>
        <w:t xml:space="preserve">4 082,35 тыс. руб.) и </w:t>
      </w:r>
      <w:r w:rsidR="00375929">
        <w:rPr>
          <w:sz w:val="26"/>
          <w:szCs w:val="26"/>
        </w:rPr>
        <w:t>выполнению</w:t>
      </w:r>
      <w:r w:rsidR="00F02D49" w:rsidRPr="002F2D48">
        <w:rPr>
          <w:sz w:val="26"/>
          <w:szCs w:val="26"/>
        </w:rPr>
        <w:t xml:space="preserve"> инженерных изысканий по объекту «Водоотводная (нагорная) канава вдоль ж/д ветки на Дудинскую нефтебазу </w:t>
      </w:r>
      <w:r w:rsidR="00960AB6" w:rsidRPr="002F2D48">
        <w:rPr>
          <w:sz w:val="26"/>
          <w:szCs w:val="26"/>
        </w:rPr>
        <w:t>(</w:t>
      </w:r>
      <w:r w:rsidR="00375929">
        <w:rPr>
          <w:sz w:val="26"/>
          <w:szCs w:val="26"/>
        </w:rPr>
        <w:t xml:space="preserve">в сумме </w:t>
      </w:r>
      <w:r w:rsidR="00960AB6" w:rsidRPr="002F2D48">
        <w:rPr>
          <w:sz w:val="26"/>
          <w:szCs w:val="26"/>
        </w:rPr>
        <w:t>4 999,31 тыс.</w:t>
      </w:r>
      <w:r w:rsidR="00F02D49" w:rsidRPr="002F2D48">
        <w:rPr>
          <w:sz w:val="26"/>
          <w:szCs w:val="26"/>
        </w:rPr>
        <w:t xml:space="preserve"> руб.</w:t>
      </w:r>
      <w:r w:rsidR="00960AB6" w:rsidRPr="002F2D48">
        <w:rPr>
          <w:sz w:val="26"/>
          <w:szCs w:val="26"/>
        </w:rPr>
        <w:t>), а также экономией субсидии на возмещение части затрат по представлению банных услуг населению, в связи с пожаром бани в п. Усть-Авам (</w:t>
      </w:r>
      <w:r w:rsidR="00375929">
        <w:rPr>
          <w:sz w:val="26"/>
          <w:szCs w:val="26"/>
        </w:rPr>
        <w:t xml:space="preserve"> в сумме </w:t>
      </w:r>
      <w:r w:rsidR="00960AB6" w:rsidRPr="002F2D48">
        <w:rPr>
          <w:sz w:val="26"/>
          <w:szCs w:val="26"/>
        </w:rPr>
        <w:t>2 675,61 тыс. руб.) и экономией по единовременным расходам, по итогам заключения муниципальных контрактов (</w:t>
      </w:r>
      <w:r w:rsidR="00375929">
        <w:rPr>
          <w:sz w:val="26"/>
          <w:szCs w:val="26"/>
        </w:rPr>
        <w:t xml:space="preserve">в сумме </w:t>
      </w:r>
      <w:r w:rsidR="00960AB6" w:rsidRPr="002F2D48">
        <w:rPr>
          <w:sz w:val="26"/>
          <w:szCs w:val="26"/>
        </w:rPr>
        <w:t xml:space="preserve">2 675,61 тыс. руб.); </w:t>
      </w:r>
      <w:r w:rsidR="00F02D49" w:rsidRPr="002F2D48">
        <w:rPr>
          <w:sz w:val="26"/>
          <w:szCs w:val="26"/>
        </w:rPr>
        <w:t xml:space="preserve"> </w:t>
      </w:r>
    </w:p>
    <w:p w:rsidR="00540CB6" w:rsidRPr="002F2D48" w:rsidRDefault="00E112D0" w:rsidP="00540CB6">
      <w:pPr>
        <w:pStyle w:val="af8"/>
        <w:widowControl w:val="0"/>
        <w:tabs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отчете об исполнении</w:t>
      </w:r>
      <w:r w:rsidR="00502510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бюджета не была дана оценка</w:t>
      </w:r>
      <w:r w:rsidR="00540CB6" w:rsidRPr="002F2D48">
        <w:rPr>
          <w:sz w:val="26"/>
          <w:szCs w:val="26"/>
        </w:rPr>
        <w:t xml:space="preserve"> эффективности исполн</w:t>
      </w:r>
      <w:r>
        <w:rPr>
          <w:sz w:val="26"/>
          <w:szCs w:val="26"/>
        </w:rPr>
        <w:t>ения муниципальных программ</w:t>
      </w:r>
      <w:r w:rsidR="00540CB6" w:rsidRPr="002F2D48">
        <w:rPr>
          <w:sz w:val="26"/>
          <w:szCs w:val="26"/>
        </w:rPr>
        <w:t xml:space="preserve"> и финансовой обеспеченности муниципальных программ, </w:t>
      </w:r>
      <w:r>
        <w:rPr>
          <w:sz w:val="26"/>
          <w:szCs w:val="26"/>
        </w:rPr>
        <w:t xml:space="preserve">исходя из чего </w:t>
      </w:r>
      <w:r w:rsidRPr="002F2D48">
        <w:rPr>
          <w:sz w:val="26"/>
          <w:szCs w:val="26"/>
        </w:rPr>
        <w:t>провести анализ системы управления муниципальными программами</w:t>
      </w:r>
      <w:r w:rsidR="00502510" w:rsidRPr="00502510">
        <w:rPr>
          <w:sz w:val="26"/>
          <w:szCs w:val="26"/>
        </w:rPr>
        <w:t xml:space="preserve"> </w:t>
      </w:r>
      <w:r w:rsidR="00502510" w:rsidRPr="002F2D48">
        <w:rPr>
          <w:sz w:val="26"/>
          <w:szCs w:val="26"/>
        </w:rPr>
        <w:t xml:space="preserve">и </w:t>
      </w:r>
      <w:r w:rsidR="00502510">
        <w:rPr>
          <w:sz w:val="26"/>
          <w:szCs w:val="26"/>
        </w:rPr>
        <w:t>анализ сбалансированности</w:t>
      </w:r>
      <w:r w:rsidR="00502510" w:rsidRPr="002F2D48">
        <w:rPr>
          <w:sz w:val="26"/>
          <w:szCs w:val="26"/>
        </w:rPr>
        <w:t xml:space="preserve"> целей</w:t>
      </w:r>
      <w:r w:rsidR="00502510">
        <w:rPr>
          <w:sz w:val="26"/>
          <w:szCs w:val="26"/>
        </w:rPr>
        <w:t>, задач и мероприятий программ</w:t>
      </w:r>
      <w:r w:rsidR="000402FA" w:rsidRPr="002F2D48">
        <w:rPr>
          <w:sz w:val="26"/>
          <w:szCs w:val="26"/>
        </w:rPr>
        <w:t>,</w:t>
      </w:r>
      <w:r w:rsidR="00540CB6" w:rsidRPr="002F2D48">
        <w:rPr>
          <w:sz w:val="26"/>
          <w:szCs w:val="26"/>
        </w:rPr>
        <w:t xml:space="preserve"> в рамках настоящей проверки не представляется возможным.</w:t>
      </w:r>
    </w:p>
    <w:p w:rsidR="00502510" w:rsidRPr="00143D4A" w:rsidRDefault="00502510" w:rsidP="00040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43D4A">
        <w:rPr>
          <w:sz w:val="26"/>
          <w:szCs w:val="26"/>
        </w:rPr>
        <w:t xml:space="preserve">КСП в очередной раз обращает внимание, что </w:t>
      </w:r>
      <w:r w:rsidR="00143D4A" w:rsidRPr="00143D4A">
        <w:rPr>
          <w:rFonts w:eastAsia="Calibri"/>
          <w:sz w:val="26"/>
          <w:szCs w:val="26"/>
        </w:rPr>
        <w:t>сводный годовой отчет о ходе реализации муниципальных программ</w:t>
      </w:r>
      <w:r w:rsidR="00143D4A" w:rsidRPr="00143D4A">
        <w:rPr>
          <w:sz w:val="26"/>
          <w:szCs w:val="26"/>
        </w:rPr>
        <w:t xml:space="preserve"> является отдельным сегментом, не объединенным в общую систему и не отраженным в годовом отчете об исполнении городского бюджета. Действующие муниципальные программы, в которых поставлены цели и задачи, и городской бюджет, определяющий направления использования ресурсов, не имеют в отчетности между собой взаимосвязи и существуют в параллельных плоскостях</w:t>
      </w:r>
      <w:r w:rsidR="00143D4A">
        <w:rPr>
          <w:sz w:val="26"/>
          <w:szCs w:val="26"/>
        </w:rPr>
        <w:t>.</w:t>
      </w:r>
    </w:p>
    <w:p w:rsidR="00AA321C" w:rsidRPr="002F2D48" w:rsidRDefault="00AA321C" w:rsidP="00AA321C">
      <w:pPr>
        <w:pStyle w:val="af8"/>
        <w:widowControl w:val="0"/>
        <w:tabs>
          <w:tab w:val="left" w:pos="0"/>
        </w:tabs>
        <w:spacing w:line="276" w:lineRule="auto"/>
        <w:ind w:left="709"/>
        <w:jc w:val="both"/>
        <w:rPr>
          <w:sz w:val="16"/>
          <w:szCs w:val="16"/>
        </w:rPr>
      </w:pPr>
    </w:p>
    <w:p w:rsidR="00F511AD" w:rsidRPr="002F2D48" w:rsidRDefault="00F511AD" w:rsidP="00356965">
      <w:pPr>
        <w:pStyle w:val="Default"/>
        <w:numPr>
          <w:ilvl w:val="0"/>
          <w:numId w:val="42"/>
        </w:numPr>
        <w:spacing w:line="276" w:lineRule="auto"/>
        <w:ind w:left="0" w:firstLine="709"/>
        <w:jc w:val="center"/>
        <w:rPr>
          <w:color w:val="auto"/>
          <w:sz w:val="26"/>
          <w:szCs w:val="26"/>
        </w:rPr>
      </w:pPr>
      <w:r w:rsidRPr="002F2D48">
        <w:rPr>
          <w:b/>
          <w:bCs/>
          <w:color w:val="auto"/>
          <w:sz w:val="26"/>
          <w:szCs w:val="26"/>
        </w:rPr>
        <w:t>Дебиторская и кредиторская задолженность, бюджетные кредиты</w:t>
      </w:r>
    </w:p>
    <w:p w:rsidR="00F511AD" w:rsidRPr="002F2D48" w:rsidRDefault="00F511AD" w:rsidP="00F511AD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F511AD" w:rsidRPr="002F2D48" w:rsidRDefault="00F511AD" w:rsidP="00356965">
      <w:pPr>
        <w:pStyle w:val="Default"/>
        <w:numPr>
          <w:ilvl w:val="1"/>
          <w:numId w:val="42"/>
        </w:numPr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2F2D48">
        <w:rPr>
          <w:color w:val="auto"/>
          <w:sz w:val="26"/>
          <w:szCs w:val="26"/>
        </w:rPr>
        <w:t>Дебиторская задолжен</w:t>
      </w:r>
      <w:r w:rsidR="00A41FBB" w:rsidRPr="002F2D48">
        <w:rPr>
          <w:color w:val="auto"/>
          <w:sz w:val="26"/>
          <w:szCs w:val="26"/>
        </w:rPr>
        <w:t>ность по состоянию на 01.01.2020</w:t>
      </w:r>
      <w:r w:rsidRPr="002F2D48">
        <w:rPr>
          <w:color w:val="auto"/>
          <w:sz w:val="26"/>
          <w:szCs w:val="26"/>
        </w:rPr>
        <w:t xml:space="preserve"> отражена в форме 0503169 «Сведения по дебиторской и кредиторской задолженности» и составила </w:t>
      </w:r>
      <w:r w:rsidR="00A41FBB" w:rsidRPr="002F2D48">
        <w:rPr>
          <w:rFonts w:cs="Arial"/>
          <w:color w:val="auto"/>
          <w:sz w:val="26"/>
          <w:szCs w:val="26"/>
        </w:rPr>
        <w:t>122 558, 51</w:t>
      </w:r>
      <w:r w:rsidRPr="002F2D48">
        <w:rPr>
          <w:rFonts w:cs="Arial"/>
          <w:color w:val="auto"/>
          <w:sz w:val="26"/>
          <w:szCs w:val="26"/>
        </w:rPr>
        <w:t xml:space="preserve"> </w:t>
      </w:r>
      <w:r w:rsidRPr="002F2D48">
        <w:rPr>
          <w:color w:val="auto"/>
          <w:sz w:val="26"/>
          <w:szCs w:val="26"/>
        </w:rPr>
        <w:t xml:space="preserve">тыс. руб. Общая сумма дебиторской задолженности по сравнению с отчетным периодом прошлого финансового года увеличилась </w:t>
      </w:r>
      <w:r w:rsidR="00A41FBB" w:rsidRPr="002F2D48">
        <w:rPr>
          <w:color w:val="auto"/>
          <w:sz w:val="26"/>
          <w:szCs w:val="26"/>
        </w:rPr>
        <w:t>на 1 913</w:t>
      </w:r>
      <w:r w:rsidR="00A52E9D" w:rsidRPr="002F2D48">
        <w:rPr>
          <w:color w:val="auto"/>
          <w:sz w:val="26"/>
          <w:szCs w:val="26"/>
        </w:rPr>
        <w:t>,</w:t>
      </w:r>
      <w:r w:rsidR="00A41FBB" w:rsidRPr="002F2D48">
        <w:rPr>
          <w:color w:val="auto"/>
          <w:sz w:val="26"/>
          <w:szCs w:val="26"/>
        </w:rPr>
        <w:t>07</w:t>
      </w:r>
      <w:r w:rsidRPr="002F2D48">
        <w:rPr>
          <w:color w:val="auto"/>
          <w:sz w:val="26"/>
          <w:szCs w:val="26"/>
        </w:rPr>
        <w:t xml:space="preserve"> тыс. руб., при этом просроченная дебиторская задолженность </w:t>
      </w:r>
      <w:r w:rsidR="00A41FBB" w:rsidRPr="002F2D48">
        <w:rPr>
          <w:color w:val="auto"/>
          <w:sz w:val="26"/>
          <w:szCs w:val="26"/>
        </w:rPr>
        <w:t>увеличилась</w:t>
      </w:r>
      <w:r w:rsidRPr="002F2D48">
        <w:rPr>
          <w:color w:val="auto"/>
          <w:sz w:val="26"/>
          <w:szCs w:val="26"/>
        </w:rPr>
        <w:t xml:space="preserve"> на</w:t>
      </w:r>
      <w:r w:rsidR="00AD03D1" w:rsidRPr="002F2D48">
        <w:rPr>
          <w:color w:val="auto"/>
          <w:sz w:val="26"/>
          <w:szCs w:val="26"/>
        </w:rPr>
        <w:t> </w:t>
      </w:r>
      <w:r w:rsidR="00A41FBB" w:rsidRPr="002F2D48">
        <w:rPr>
          <w:color w:val="auto"/>
          <w:sz w:val="26"/>
          <w:szCs w:val="26"/>
        </w:rPr>
        <w:t>21 286,</w:t>
      </w:r>
      <w:r w:rsidR="00AD03D1" w:rsidRPr="002F2D48">
        <w:rPr>
          <w:color w:val="auto"/>
          <w:sz w:val="26"/>
          <w:szCs w:val="26"/>
        </w:rPr>
        <w:t>1</w:t>
      </w:r>
      <w:r w:rsidR="00A41FBB" w:rsidRPr="002F2D48">
        <w:rPr>
          <w:color w:val="auto"/>
          <w:sz w:val="26"/>
          <w:szCs w:val="26"/>
        </w:rPr>
        <w:t>0</w:t>
      </w:r>
      <w:r w:rsidRPr="002F2D48">
        <w:rPr>
          <w:color w:val="auto"/>
          <w:sz w:val="26"/>
          <w:szCs w:val="26"/>
        </w:rPr>
        <w:t xml:space="preserve"> тыс. руб. и составила </w:t>
      </w:r>
      <w:r w:rsidR="00A41FBB" w:rsidRPr="002F2D48">
        <w:rPr>
          <w:color w:val="auto"/>
          <w:sz w:val="26"/>
          <w:szCs w:val="26"/>
        </w:rPr>
        <w:t>29 158,6</w:t>
      </w:r>
      <w:r w:rsidR="00AD03D1" w:rsidRPr="002F2D48">
        <w:rPr>
          <w:color w:val="auto"/>
          <w:sz w:val="26"/>
          <w:szCs w:val="26"/>
        </w:rPr>
        <w:t xml:space="preserve">1 </w:t>
      </w:r>
      <w:r w:rsidRPr="002F2D48">
        <w:rPr>
          <w:color w:val="auto"/>
          <w:sz w:val="26"/>
          <w:szCs w:val="26"/>
        </w:rPr>
        <w:t>тыс. руб.</w:t>
      </w:r>
    </w:p>
    <w:p w:rsidR="00CB11B7" w:rsidRPr="002F2D48" w:rsidRDefault="00CB11B7" w:rsidP="00680F29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F2D48">
        <w:rPr>
          <w:color w:val="auto"/>
          <w:sz w:val="26"/>
          <w:szCs w:val="26"/>
        </w:rPr>
        <w:t>В текстовой части Пояснительной записки (ф. 0503160)</w:t>
      </w:r>
      <w:r w:rsidRPr="002F2D48">
        <w:rPr>
          <w:bCs/>
          <w:color w:val="auto"/>
          <w:sz w:val="26"/>
          <w:szCs w:val="26"/>
        </w:rPr>
        <w:t xml:space="preserve"> </w:t>
      </w:r>
      <w:r w:rsidR="00365825" w:rsidRPr="002F2D48">
        <w:rPr>
          <w:bCs/>
          <w:color w:val="auto"/>
          <w:sz w:val="26"/>
          <w:szCs w:val="26"/>
        </w:rPr>
        <w:t xml:space="preserve">достаточно </w:t>
      </w:r>
      <w:r w:rsidRPr="002F2D48">
        <w:rPr>
          <w:bCs/>
          <w:color w:val="auto"/>
          <w:sz w:val="26"/>
          <w:szCs w:val="26"/>
        </w:rPr>
        <w:t xml:space="preserve">подробно </w:t>
      </w:r>
      <w:r w:rsidR="00365825" w:rsidRPr="002F2D48">
        <w:rPr>
          <w:bCs/>
          <w:color w:val="auto"/>
          <w:sz w:val="26"/>
          <w:szCs w:val="26"/>
        </w:rPr>
        <w:t xml:space="preserve">отражены причины образования просроченной дебиторской задолженности и </w:t>
      </w:r>
      <w:r w:rsidRPr="002F2D48">
        <w:rPr>
          <w:bCs/>
          <w:color w:val="auto"/>
          <w:sz w:val="26"/>
          <w:szCs w:val="26"/>
        </w:rPr>
        <w:t xml:space="preserve">проводимая работа (переписка) со службой судебных приставов по взысканию </w:t>
      </w:r>
      <w:r w:rsidR="00365825" w:rsidRPr="002F2D48">
        <w:rPr>
          <w:bCs/>
          <w:color w:val="auto"/>
          <w:sz w:val="26"/>
          <w:szCs w:val="26"/>
        </w:rPr>
        <w:t xml:space="preserve">просроченной </w:t>
      </w:r>
      <w:r w:rsidRPr="002F2D48">
        <w:rPr>
          <w:bCs/>
          <w:color w:val="auto"/>
          <w:sz w:val="26"/>
          <w:szCs w:val="26"/>
        </w:rPr>
        <w:t>дебиторской задолженности.</w:t>
      </w:r>
    </w:p>
    <w:p w:rsidR="00C03906" w:rsidRPr="002F2D48" w:rsidRDefault="00DB64B3" w:rsidP="00680F2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D48">
        <w:rPr>
          <w:rFonts w:ascii="Times New Roman" w:hAnsi="Times New Roman" w:cs="Times New Roman"/>
          <w:bCs/>
          <w:sz w:val="26"/>
          <w:szCs w:val="26"/>
        </w:rPr>
        <w:t>Кредиторская задолженность на конец отчетного периода составила</w:t>
      </w:r>
      <w:r w:rsidR="00365825" w:rsidRPr="002F2D48">
        <w:rPr>
          <w:rFonts w:ascii="Times New Roman" w:hAnsi="Times New Roman" w:cs="Times New Roman"/>
          <w:bCs/>
          <w:sz w:val="26"/>
          <w:szCs w:val="26"/>
        </w:rPr>
        <w:t xml:space="preserve"> 4 958,56</w:t>
      </w:r>
      <w:r w:rsidR="00C03906" w:rsidRPr="002F2D48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Pr="002F2D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906" w:rsidRPr="002F2D48">
        <w:rPr>
          <w:rFonts w:ascii="Times New Roman" w:hAnsi="Times New Roman" w:cs="Times New Roman"/>
          <w:sz w:val="26"/>
          <w:szCs w:val="26"/>
        </w:rPr>
        <w:t>Общая сумма кредиторской задолженности по сравнению с отчетным периодом прошл</w:t>
      </w:r>
      <w:r w:rsidR="00365825" w:rsidRPr="002F2D48">
        <w:rPr>
          <w:rFonts w:ascii="Times New Roman" w:hAnsi="Times New Roman" w:cs="Times New Roman"/>
          <w:sz w:val="26"/>
          <w:szCs w:val="26"/>
        </w:rPr>
        <w:t>ого финансового года увеличилась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на 1 766,25</w:t>
      </w:r>
      <w:r w:rsidR="00C03906" w:rsidRPr="002F2D48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в результате суммирования сумм недоимки, урегулирования задолженности, переплаты,</w:t>
      </w:r>
      <w:r w:rsidR="00C03906" w:rsidRPr="002F2D48">
        <w:rPr>
          <w:rFonts w:ascii="Times New Roman" w:hAnsi="Times New Roman" w:cs="Times New Roman"/>
          <w:sz w:val="26"/>
          <w:szCs w:val="26"/>
        </w:rPr>
        <w:t xml:space="preserve"> при этом просроченная кредиторская задолженность отсутствует.</w:t>
      </w:r>
    </w:p>
    <w:p w:rsidR="00C65667" w:rsidRPr="002F2D48" w:rsidRDefault="00FC783B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bCs/>
          <w:sz w:val="26"/>
          <w:szCs w:val="26"/>
        </w:rPr>
        <w:t xml:space="preserve">4.2. </w:t>
      </w:r>
      <w:r w:rsidR="00A81614" w:rsidRPr="002F2D48">
        <w:rPr>
          <w:rFonts w:cs="Arial"/>
          <w:sz w:val="26"/>
          <w:szCs w:val="26"/>
        </w:rPr>
        <w:t>По состоянию на 01.01.2020</w:t>
      </w:r>
      <w:r w:rsidR="00C65667" w:rsidRPr="002F2D48">
        <w:rPr>
          <w:rFonts w:cs="Arial"/>
          <w:sz w:val="26"/>
          <w:szCs w:val="26"/>
        </w:rPr>
        <w:t xml:space="preserve"> общая задолженность городского бюджета по бюджетным кредитам представленным из средств районного бюджета составила</w:t>
      </w:r>
      <w:r w:rsidR="00A81614" w:rsidRPr="002F2D48">
        <w:rPr>
          <w:rFonts w:cs="Arial"/>
          <w:sz w:val="26"/>
          <w:szCs w:val="26"/>
        </w:rPr>
        <w:t xml:space="preserve"> 23 500,00 тыс. руб.</w:t>
      </w:r>
      <w:r w:rsidR="00C65667" w:rsidRPr="002F2D48">
        <w:rPr>
          <w:rFonts w:cs="Arial"/>
          <w:sz w:val="26"/>
          <w:szCs w:val="26"/>
        </w:rPr>
        <w:t>, в том числе:</w:t>
      </w:r>
    </w:p>
    <w:p w:rsidR="00A81614" w:rsidRPr="002F2D48" w:rsidRDefault="00C65667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</w:t>
      </w:r>
      <w:r w:rsidR="00A81614" w:rsidRPr="002F2D48">
        <w:rPr>
          <w:rFonts w:cs="Arial"/>
          <w:sz w:val="26"/>
          <w:szCs w:val="26"/>
        </w:rPr>
        <w:t xml:space="preserve">в сумме 6 </w:t>
      </w:r>
      <w:r w:rsidR="00604952" w:rsidRPr="002F2D48">
        <w:rPr>
          <w:rFonts w:cs="Arial"/>
          <w:sz w:val="26"/>
          <w:szCs w:val="26"/>
        </w:rPr>
        <w:t xml:space="preserve">000,00 тыс. руб. по договору от 05.12.2016 № 7 БК, со сроком погашения </w:t>
      </w:r>
    </w:p>
    <w:p w:rsidR="00C65667" w:rsidRPr="002F2D48" w:rsidRDefault="00604952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 до 01.12.2020;</w:t>
      </w:r>
    </w:p>
    <w:p w:rsidR="00604952" w:rsidRPr="002F2D48" w:rsidRDefault="00A81614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604952" w:rsidRPr="002F2D48">
        <w:rPr>
          <w:rFonts w:cs="Arial"/>
          <w:sz w:val="26"/>
          <w:szCs w:val="26"/>
        </w:rPr>
        <w:t>5 000,00 тыс. руб. по договору от 19.12.2016 № 8 БК, со сроком погашения</w:t>
      </w:r>
      <w:r w:rsidRPr="002F2D48">
        <w:rPr>
          <w:rFonts w:cs="Arial"/>
          <w:sz w:val="26"/>
          <w:szCs w:val="26"/>
        </w:rPr>
        <w:t xml:space="preserve"> до 01.12.202</w:t>
      </w:r>
      <w:r w:rsidR="00604952" w:rsidRPr="002F2D48">
        <w:rPr>
          <w:rFonts w:cs="Arial"/>
          <w:sz w:val="26"/>
          <w:szCs w:val="26"/>
        </w:rPr>
        <w:t>0;</w:t>
      </w:r>
    </w:p>
    <w:p w:rsidR="00DA7015" w:rsidRPr="002F2D48" w:rsidRDefault="00604952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A81614" w:rsidRPr="002F2D48">
        <w:rPr>
          <w:rFonts w:cs="Arial"/>
          <w:sz w:val="26"/>
          <w:szCs w:val="26"/>
        </w:rPr>
        <w:t>12 500</w:t>
      </w:r>
      <w:r w:rsidR="00B95CDB" w:rsidRPr="002F2D48">
        <w:rPr>
          <w:rFonts w:cs="Arial"/>
          <w:sz w:val="26"/>
          <w:szCs w:val="26"/>
        </w:rPr>
        <w:t xml:space="preserve">,00 тыс. руб. по договору от 18.12.2017 № 9 БК, со сроком </w:t>
      </w:r>
      <w:r w:rsidR="00A81614" w:rsidRPr="002F2D48">
        <w:rPr>
          <w:rFonts w:cs="Arial"/>
          <w:sz w:val="26"/>
          <w:szCs w:val="26"/>
        </w:rPr>
        <w:t xml:space="preserve">погашения </w:t>
      </w:r>
      <w:r w:rsidR="00B95CDB" w:rsidRPr="002F2D48">
        <w:rPr>
          <w:rFonts w:cs="Arial"/>
          <w:sz w:val="26"/>
          <w:szCs w:val="26"/>
        </w:rPr>
        <w:t>до 01.12.2020.</w:t>
      </w:r>
    </w:p>
    <w:p w:rsidR="00FC783B" w:rsidRPr="002F2D48" w:rsidRDefault="00557064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bCs/>
          <w:sz w:val="26"/>
          <w:szCs w:val="26"/>
        </w:rPr>
        <w:t xml:space="preserve"> </w:t>
      </w:r>
      <w:r w:rsidR="00DA7015" w:rsidRPr="002F2D48">
        <w:rPr>
          <w:sz w:val="26"/>
          <w:szCs w:val="26"/>
        </w:rPr>
        <w:t>Согласно ф. 0503172 «Сведения о государственном (муниципальном) долге, представленных бюджетных кредитов»</w:t>
      </w:r>
      <w:r w:rsidR="00510E36" w:rsidRPr="002F2D48">
        <w:rPr>
          <w:sz w:val="26"/>
          <w:szCs w:val="26"/>
        </w:rPr>
        <w:t xml:space="preserve"> (далее – ф. 0503172)</w:t>
      </w:r>
      <w:r w:rsidR="00A81614" w:rsidRPr="002F2D48">
        <w:rPr>
          <w:sz w:val="26"/>
          <w:szCs w:val="26"/>
        </w:rPr>
        <w:t xml:space="preserve"> в 2019</w:t>
      </w:r>
      <w:r w:rsidR="00DA7015" w:rsidRPr="002F2D48">
        <w:rPr>
          <w:sz w:val="26"/>
          <w:szCs w:val="26"/>
        </w:rPr>
        <w:t xml:space="preserve"> году погашено основного долга по бюджетным кредитам в общей сумме </w:t>
      </w:r>
      <w:r w:rsidR="009A51F3" w:rsidRPr="002F2D48">
        <w:rPr>
          <w:sz w:val="26"/>
          <w:szCs w:val="26"/>
        </w:rPr>
        <w:t>28 500</w:t>
      </w:r>
      <w:r w:rsidR="00DA7015" w:rsidRPr="002F2D48">
        <w:rPr>
          <w:sz w:val="26"/>
          <w:szCs w:val="26"/>
        </w:rPr>
        <w:t>,00 тыс. руб., процентов за пользование бюджет</w:t>
      </w:r>
      <w:r w:rsidR="009A51F3" w:rsidRPr="002F2D48">
        <w:rPr>
          <w:sz w:val="26"/>
          <w:szCs w:val="26"/>
        </w:rPr>
        <w:t>ными кредитами в общей сумме 72,1</w:t>
      </w:r>
      <w:r w:rsidR="00DA7015" w:rsidRPr="002F2D48">
        <w:rPr>
          <w:sz w:val="26"/>
          <w:szCs w:val="26"/>
        </w:rPr>
        <w:t>1 тыс. руб.</w:t>
      </w:r>
      <w:r w:rsidR="00CB0B60" w:rsidRPr="002F2D48">
        <w:rPr>
          <w:sz w:val="26"/>
          <w:szCs w:val="26"/>
        </w:rPr>
        <w:t xml:space="preserve"> </w:t>
      </w:r>
    </w:p>
    <w:p w:rsidR="00FB1491" w:rsidRPr="002F2D48" w:rsidRDefault="00FB1491" w:rsidP="00680F29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577DD7" w:rsidRPr="002F2D48" w:rsidRDefault="00FB1491" w:rsidP="002A04F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F514D" w:rsidRPr="002F2D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04C1F" w:rsidRPr="002F2D48">
        <w:rPr>
          <w:rFonts w:ascii="Times New Roman" w:hAnsi="Times New Roman" w:cs="Times New Roman"/>
          <w:b/>
          <w:bCs/>
          <w:sz w:val="26"/>
          <w:szCs w:val="26"/>
        </w:rPr>
        <w:t xml:space="preserve"> Дефицит бюджета, муниципальный долг</w:t>
      </w:r>
      <w:r w:rsidR="00E13AB7" w:rsidRPr="002F2D48">
        <w:rPr>
          <w:rFonts w:ascii="Times New Roman" w:hAnsi="Times New Roman" w:cs="Times New Roman"/>
          <w:b/>
          <w:bCs/>
          <w:sz w:val="26"/>
          <w:szCs w:val="26"/>
        </w:rPr>
        <w:t>, расходы на</w:t>
      </w:r>
    </w:p>
    <w:p w:rsidR="00F04C1F" w:rsidRPr="002F2D48" w:rsidRDefault="00E13AB7" w:rsidP="00630BE9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обслуживание и погашение муниципальных долговых обязательств</w:t>
      </w:r>
      <w:r w:rsidR="00F04C1F" w:rsidRPr="002F2D4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04C1F" w:rsidRPr="002F2D48" w:rsidRDefault="00F04C1F">
      <w:pPr>
        <w:ind w:firstLine="720"/>
        <w:jc w:val="both"/>
        <w:rPr>
          <w:sz w:val="16"/>
          <w:szCs w:val="16"/>
        </w:rPr>
      </w:pPr>
    </w:p>
    <w:p w:rsidR="00B04B32" w:rsidRPr="002F2D48" w:rsidRDefault="00C14F0F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2F2D48">
        <w:rPr>
          <w:sz w:val="26"/>
          <w:szCs w:val="26"/>
        </w:rPr>
        <w:t xml:space="preserve">С учетом внесенных изменений </w:t>
      </w:r>
      <w:r w:rsidR="00356965" w:rsidRPr="002F2D48">
        <w:rPr>
          <w:sz w:val="26"/>
          <w:szCs w:val="26"/>
        </w:rPr>
        <w:t>в течение</w:t>
      </w:r>
      <w:r w:rsidR="000C69A1" w:rsidRPr="002F2D48">
        <w:rPr>
          <w:sz w:val="26"/>
          <w:szCs w:val="26"/>
        </w:rPr>
        <w:t xml:space="preserve"> отчетного периода </w:t>
      </w:r>
      <w:r w:rsidRPr="002F2D48">
        <w:rPr>
          <w:sz w:val="26"/>
          <w:szCs w:val="26"/>
        </w:rPr>
        <w:t>в Решение о бюджете на 201</w:t>
      </w:r>
      <w:r w:rsidR="00FB1491" w:rsidRPr="002F2D48">
        <w:rPr>
          <w:sz w:val="26"/>
          <w:szCs w:val="26"/>
        </w:rPr>
        <w:t>9</w:t>
      </w:r>
      <w:r w:rsidRPr="002F2D48">
        <w:rPr>
          <w:sz w:val="26"/>
          <w:szCs w:val="26"/>
        </w:rPr>
        <w:t xml:space="preserve"> год </w:t>
      </w:r>
      <w:r w:rsidR="004C0C3F" w:rsidRPr="002F2D48">
        <w:rPr>
          <w:sz w:val="26"/>
          <w:szCs w:val="26"/>
        </w:rPr>
        <w:t xml:space="preserve">утвержденный </w:t>
      </w:r>
      <w:r w:rsidR="000C69A1" w:rsidRPr="002F2D48">
        <w:rPr>
          <w:sz w:val="26"/>
          <w:szCs w:val="26"/>
        </w:rPr>
        <w:t xml:space="preserve">профицит городского </w:t>
      </w:r>
      <w:r w:rsidRPr="002F2D48">
        <w:rPr>
          <w:sz w:val="26"/>
          <w:szCs w:val="26"/>
        </w:rPr>
        <w:t>бюджета состав</w:t>
      </w:r>
      <w:r w:rsidR="00D7389B" w:rsidRPr="002F2D48">
        <w:rPr>
          <w:sz w:val="26"/>
          <w:szCs w:val="26"/>
        </w:rPr>
        <w:t>лял</w:t>
      </w:r>
      <w:r w:rsidR="00CC79AA">
        <w:rPr>
          <w:sz w:val="26"/>
          <w:szCs w:val="26"/>
        </w:rPr>
        <w:t xml:space="preserve"> 21</w:t>
      </w:r>
      <w:r w:rsidR="00FB1491" w:rsidRPr="002F2D48">
        <w:rPr>
          <w:sz w:val="26"/>
          <w:szCs w:val="26"/>
        </w:rPr>
        <w:t> 710,03</w:t>
      </w:r>
      <w:r w:rsidRPr="002F2D48">
        <w:rPr>
          <w:sz w:val="26"/>
          <w:szCs w:val="26"/>
        </w:rPr>
        <w:t xml:space="preserve"> тыс. руб.</w:t>
      </w:r>
    </w:p>
    <w:p w:rsidR="00B04B32" w:rsidRPr="002F2D48" w:rsidRDefault="00DA5DAA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2F2D48">
        <w:rPr>
          <w:sz w:val="26"/>
          <w:szCs w:val="26"/>
        </w:rPr>
        <w:t>Согласно Отчету об исполнении бюджета</w:t>
      </w:r>
      <w:r w:rsidR="000C69A1" w:rsidRPr="002F2D48">
        <w:rPr>
          <w:sz w:val="26"/>
          <w:szCs w:val="26"/>
        </w:rPr>
        <w:t xml:space="preserve"> за</w:t>
      </w:r>
      <w:r w:rsidR="00DF1E6F" w:rsidRPr="002F2D48">
        <w:rPr>
          <w:sz w:val="26"/>
          <w:szCs w:val="26"/>
        </w:rPr>
        <w:t xml:space="preserve"> 201</w:t>
      </w:r>
      <w:r w:rsidR="00FB1491" w:rsidRPr="002F2D48">
        <w:rPr>
          <w:sz w:val="26"/>
          <w:szCs w:val="26"/>
        </w:rPr>
        <w:t>9</w:t>
      </w:r>
      <w:r w:rsidR="000C69A1" w:rsidRPr="002F2D48">
        <w:rPr>
          <w:sz w:val="26"/>
          <w:szCs w:val="26"/>
        </w:rPr>
        <w:t xml:space="preserve"> год профицит городского бюджета составил</w:t>
      </w:r>
      <w:r w:rsidR="00A374A5" w:rsidRPr="002F2D48">
        <w:rPr>
          <w:sz w:val="26"/>
          <w:szCs w:val="26"/>
        </w:rPr>
        <w:t xml:space="preserve"> 45 374,38</w:t>
      </w:r>
      <w:r w:rsidR="000C69A1" w:rsidRPr="002F2D48">
        <w:rPr>
          <w:sz w:val="26"/>
          <w:szCs w:val="26"/>
        </w:rPr>
        <w:t xml:space="preserve"> тыс. руб. </w:t>
      </w:r>
      <w:r w:rsidRPr="002F2D48">
        <w:rPr>
          <w:sz w:val="26"/>
          <w:szCs w:val="26"/>
        </w:rPr>
        <w:t>(</w:t>
      </w:r>
      <w:r w:rsidR="00A374A5" w:rsidRPr="002F2D48">
        <w:rPr>
          <w:sz w:val="26"/>
          <w:szCs w:val="26"/>
        </w:rPr>
        <w:t>в 2018</w:t>
      </w:r>
      <w:r w:rsidR="000C69A1" w:rsidRPr="002F2D48">
        <w:rPr>
          <w:sz w:val="26"/>
          <w:szCs w:val="26"/>
        </w:rPr>
        <w:t xml:space="preserve"> году городской бюдже</w:t>
      </w:r>
      <w:r w:rsidR="00975403" w:rsidRPr="002F2D48">
        <w:rPr>
          <w:sz w:val="26"/>
          <w:szCs w:val="26"/>
        </w:rPr>
        <w:t xml:space="preserve">т исполнен с </w:t>
      </w:r>
      <w:r w:rsidR="00A374A5" w:rsidRPr="002F2D48">
        <w:rPr>
          <w:sz w:val="26"/>
          <w:szCs w:val="26"/>
        </w:rPr>
        <w:t xml:space="preserve">профицитом </w:t>
      </w:r>
      <w:r w:rsidR="00975403" w:rsidRPr="002F2D48">
        <w:rPr>
          <w:sz w:val="26"/>
          <w:szCs w:val="26"/>
        </w:rPr>
        <w:t>в сумме</w:t>
      </w:r>
      <w:r w:rsidR="00B04B32" w:rsidRPr="002F2D48">
        <w:rPr>
          <w:sz w:val="26"/>
          <w:szCs w:val="26"/>
        </w:rPr>
        <w:t xml:space="preserve"> </w:t>
      </w:r>
      <w:r w:rsidR="00A374A5" w:rsidRPr="002F2D48">
        <w:rPr>
          <w:sz w:val="26"/>
          <w:szCs w:val="26"/>
        </w:rPr>
        <w:t xml:space="preserve">19 663,24 </w:t>
      </w:r>
      <w:r w:rsidR="00B04B32" w:rsidRPr="002F2D48">
        <w:rPr>
          <w:sz w:val="26"/>
          <w:szCs w:val="26"/>
        </w:rPr>
        <w:t>тыс. руб.).</w:t>
      </w:r>
    </w:p>
    <w:p w:rsidR="00DA5DAA" w:rsidRPr="002F2D48" w:rsidRDefault="00650609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2F2D48">
        <w:rPr>
          <w:sz w:val="26"/>
          <w:szCs w:val="26"/>
        </w:rPr>
        <w:t>О</w:t>
      </w:r>
      <w:r w:rsidR="00356965" w:rsidRPr="002F2D48">
        <w:rPr>
          <w:sz w:val="26"/>
          <w:szCs w:val="26"/>
        </w:rPr>
        <w:t>бразование</w:t>
      </w:r>
      <w:r w:rsidR="00B04B32" w:rsidRPr="002F2D48">
        <w:rPr>
          <w:sz w:val="26"/>
          <w:szCs w:val="26"/>
        </w:rPr>
        <w:t xml:space="preserve"> профицита городского бюджета </w:t>
      </w:r>
      <w:r w:rsidRPr="002F2D48">
        <w:rPr>
          <w:sz w:val="26"/>
          <w:szCs w:val="26"/>
        </w:rPr>
        <w:t xml:space="preserve">обусловлено </w:t>
      </w:r>
      <w:r w:rsidR="00B04B32" w:rsidRPr="002F2D48">
        <w:rPr>
          <w:sz w:val="26"/>
          <w:szCs w:val="26"/>
        </w:rPr>
        <w:t>поступления</w:t>
      </w:r>
      <w:r w:rsidRPr="002F2D48">
        <w:rPr>
          <w:sz w:val="26"/>
          <w:szCs w:val="26"/>
        </w:rPr>
        <w:t>ми</w:t>
      </w:r>
      <w:r w:rsidR="00B04B32" w:rsidRPr="002F2D48">
        <w:rPr>
          <w:sz w:val="26"/>
          <w:szCs w:val="26"/>
        </w:rPr>
        <w:t xml:space="preserve"> дополнительных</w:t>
      </w:r>
      <w:r w:rsidR="00A374A5" w:rsidRPr="002F2D48">
        <w:rPr>
          <w:sz w:val="26"/>
          <w:szCs w:val="26"/>
        </w:rPr>
        <w:t xml:space="preserve"> поступлений по налогу на доходы физических лиц, в результате выплаты дивидендов ПАО «ГМК «Норильский никель» за 6 месяцев 2019 года в размере выше запланированного</w:t>
      </w:r>
      <w:r w:rsidR="00E41E76" w:rsidRPr="002F2D48">
        <w:rPr>
          <w:sz w:val="26"/>
          <w:szCs w:val="26"/>
        </w:rPr>
        <w:t>.</w:t>
      </w:r>
      <w:r w:rsidR="00234049" w:rsidRPr="002F2D48">
        <w:rPr>
          <w:sz w:val="26"/>
          <w:szCs w:val="26"/>
        </w:rPr>
        <w:t xml:space="preserve"> </w:t>
      </w:r>
    </w:p>
    <w:p w:rsidR="00510E36" w:rsidRPr="002F2D48" w:rsidRDefault="00132B37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С</w:t>
      </w:r>
      <w:r w:rsidR="00E41E76" w:rsidRPr="002F2D48">
        <w:rPr>
          <w:sz w:val="26"/>
          <w:szCs w:val="26"/>
        </w:rPr>
        <w:t xml:space="preserve">огласно </w:t>
      </w:r>
      <w:r w:rsidR="00510E36" w:rsidRPr="002F2D48">
        <w:rPr>
          <w:sz w:val="26"/>
          <w:szCs w:val="26"/>
        </w:rPr>
        <w:t xml:space="preserve">ф. 0503172 </w:t>
      </w:r>
      <w:r w:rsidR="00D7389B" w:rsidRPr="002F2D48">
        <w:rPr>
          <w:sz w:val="26"/>
          <w:szCs w:val="26"/>
        </w:rPr>
        <w:t>по состоянию на 01.01.20</w:t>
      </w:r>
      <w:r w:rsidR="00A374A5" w:rsidRPr="002F2D48">
        <w:rPr>
          <w:sz w:val="26"/>
          <w:szCs w:val="26"/>
        </w:rPr>
        <w:t>20</w:t>
      </w:r>
      <w:r w:rsidR="00D7389B" w:rsidRPr="002F2D48">
        <w:rPr>
          <w:sz w:val="26"/>
          <w:szCs w:val="26"/>
        </w:rPr>
        <w:t xml:space="preserve"> муниципальный долг </w:t>
      </w:r>
      <w:r w:rsidR="00510E36" w:rsidRPr="002F2D48">
        <w:rPr>
          <w:sz w:val="26"/>
          <w:szCs w:val="26"/>
        </w:rPr>
        <w:t>муниципального образов</w:t>
      </w:r>
      <w:r w:rsidR="0063453B" w:rsidRPr="002F2D48">
        <w:rPr>
          <w:sz w:val="26"/>
          <w:szCs w:val="26"/>
        </w:rPr>
        <w:t>ания «Город Дудинка» составил 23 500</w:t>
      </w:r>
      <w:r w:rsidR="0074221B" w:rsidRPr="002F2D48">
        <w:rPr>
          <w:sz w:val="26"/>
          <w:szCs w:val="26"/>
        </w:rPr>
        <w:t xml:space="preserve"> тыс.</w:t>
      </w:r>
      <w:r w:rsidR="004F3133" w:rsidRPr="002F2D48">
        <w:rPr>
          <w:sz w:val="26"/>
          <w:szCs w:val="26"/>
        </w:rPr>
        <w:t xml:space="preserve"> руб.</w:t>
      </w:r>
      <w:r w:rsidR="0063453B" w:rsidRPr="002F2D48">
        <w:rPr>
          <w:sz w:val="26"/>
          <w:szCs w:val="26"/>
        </w:rPr>
        <w:t>, проценты за пользование – 4,1</w:t>
      </w:r>
      <w:r w:rsidR="00510E36" w:rsidRPr="002F2D48">
        <w:rPr>
          <w:sz w:val="26"/>
          <w:szCs w:val="26"/>
        </w:rPr>
        <w:t>2 тыс. руб.</w:t>
      </w:r>
    </w:p>
    <w:p w:rsidR="00510E36" w:rsidRPr="002F2D48" w:rsidRDefault="007D032B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Расходы на </w:t>
      </w:r>
      <w:r w:rsidR="00510E36" w:rsidRPr="002F2D48">
        <w:rPr>
          <w:sz w:val="26"/>
          <w:szCs w:val="26"/>
        </w:rPr>
        <w:t>обслуживание</w:t>
      </w:r>
      <w:r w:rsidR="0063453B" w:rsidRPr="002F2D48">
        <w:rPr>
          <w:sz w:val="26"/>
          <w:szCs w:val="26"/>
        </w:rPr>
        <w:t xml:space="preserve"> муниципального долга в 2019</w:t>
      </w:r>
      <w:r w:rsidRPr="002F2D48">
        <w:rPr>
          <w:sz w:val="26"/>
          <w:szCs w:val="26"/>
        </w:rPr>
        <w:t xml:space="preserve"> году были предусмотрены в сумме</w:t>
      </w:r>
      <w:r w:rsidR="0063453B" w:rsidRPr="002F2D48">
        <w:rPr>
          <w:sz w:val="26"/>
          <w:szCs w:val="26"/>
        </w:rPr>
        <w:t xml:space="preserve"> 72,11</w:t>
      </w:r>
      <w:r w:rsidRPr="002F2D48">
        <w:rPr>
          <w:sz w:val="26"/>
          <w:szCs w:val="26"/>
        </w:rPr>
        <w:t xml:space="preserve"> тыс. руб., что соответствует требованиям ст. 111 БК РФ. Фактическое </w:t>
      </w:r>
      <w:r w:rsidR="0013168C" w:rsidRPr="002F2D48">
        <w:rPr>
          <w:sz w:val="26"/>
          <w:szCs w:val="26"/>
        </w:rPr>
        <w:t>исполнение расходов осуществлено</w:t>
      </w:r>
      <w:r w:rsidR="0063453B" w:rsidRPr="002F2D48">
        <w:rPr>
          <w:sz w:val="26"/>
          <w:szCs w:val="26"/>
        </w:rPr>
        <w:t xml:space="preserve"> в сумме 72,11 тыс. руб. или 100,00</w:t>
      </w:r>
      <w:r w:rsidRPr="002F2D48">
        <w:rPr>
          <w:sz w:val="26"/>
          <w:szCs w:val="26"/>
        </w:rPr>
        <w:t xml:space="preserve"> %.</w:t>
      </w:r>
      <w:r w:rsidR="0013168C" w:rsidRPr="002F2D48">
        <w:rPr>
          <w:sz w:val="26"/>
          <w:szCs w:val="26"/>
        </w:rPr>
        <w:t xml:space="preserve"> </w:t>
      </w:r>
    </w:p>
    <w:p w:rsidR="0013168C" w:rsidRPr="00125C7A" w:rsidRDefault="0013168C" w:rsidP="00683951">
      <w:pPr>
        <w:pStyle w:val="30"/>
        <w:spacing w:line="276" w:lineRule="auto"/>
        <w:ind w:hanging="142"/>
        <w:jc w:val="center"/>
        <w:rPr>
          <w:b/>
          <w:bCs/>
          <w:sz w:val="16"/>
          <w:szCs w:val="16"/>
        </w:rPr>
      </w:pPr>
    </w:p>
    <w:p w:rsidR="001F5784" w:rsidRPr="00E22C3F" w:rsidRDefault="00FB1491" w:rsidP="000131BC">
      <w:pPr>
        <w:pStyle w:val="3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562DF1" w:rsidRPr="00E22C3F">
        <w:rPr>
          <w:b/>
          <w:bCs/>
          <w:sz w:val="26"/>
          <w:szCs w:val="26"/>
        </w:rPr>
        <w:t>.</w:t>
      </w:r>
      <w:r w:rsidR="00562DF1" w:rsidRPr="00E22C3F">
        <w:rPr>
          <w:b/>
          <w:bCs/>
          <w:sz w:val="26"/>
          <w:szCs w:val="26"/>
        </w:rPr>
        <w:tab/>
      </w:r>
      <w:r w:rsidR="001F5784" w:rsidRPr="00E22C3F">
        <w:rPr>
          <w:b/>
          <w:bCs/>
          <w:sz w:val="26"/>
          <w:szCs w:val="26"/>
        </w:rPr>
        <w:t>Результаты внешней проверки бюджетной отчетности</w:t>
      </w:r>
    </w:p>
    <w:p w:rsidR="001F08E8" w:rsidRPr="00125C7A" w:rsidRDefault="001F08E8" w:rsidP="001F08E8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67666D" w:rsidRPr="00234731" w:rsidRDefault="008B203F" w:rsidP="00E22C3F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 xml:space="preserve">Проверка бюджетной отчетности органом внешнего финансового контроля проведена в отношении </w:t>
      </w:r>
      <w:r w:rsidR="007A61F2" w:rsidRPr="00234731">
        <w:rPr>
          <w:color w:val="000000" w:themeColor="text1"/>
          <w:sz w:val="26"/>
          <w:szCs w:val="26"/>
        </w:rPr>
        <w:t xml:space="preserve">следующих главных администраторов </w:t>
      </w:r>
      <w:r w:rsidR="00E22C3F" w:rsidRPr="00234731">
        <w:rPr>
          <w:color w:val="000000" w:themeColor="text1"/>
          <w:sz w:val="26"/>
          <w:szCs w:val="26"/>
        </w:rPr>
        <w:t xml:space="preserve">бюджетных </w:t>
      </w:r>
      <w:r w:rsidR="007A61F2" w:rsidRPr="00234731">
        <w:rPr>
          <w:color w:val="000000" w:themeColor="text1"/>
          <w:sz w:val="26"/>
          <w:szCs w:val="26"/>
        </w:rPr>
        <w:t>средств городского бюджета:</w:t>
      </w:r>
      <w:r w:rsidR="00DD2E3A">
        <w:rPr>
          <w:color w:val="000000" w:themeColor="text1"/>
          <w:sz w:val="26"/>
          <w:szCs w:val="26"/>
        </w:rPr>
        <w:t xml:space="preserve"> Администрации</w:t>
      </w:r>
      <w:r w:rsidR="007A61F2" w:rsidRPr="00234731">
        <w:rPr>
          <w:color w:val="000000" w:themeColor="text1"/>
          <w:sz w:val="26"/>
          <w:szCs w:val="26"/>
        </w:rPr>
        <w:t xml:space="preserve"> города Дудинки</w:t>
      </w:r>
      <w:r w:rsidR="00DD2E3A">
        <w:rPr>
          <w:color w:val="000000" w:themeColor="text1"/>
          <w:sz w:val="26"/>
          <w:szCs w:val="26"/>
        </w:rPr>
        <w:t>, Дудинского городского</w:t>
      </w:r>
      <w:r w:rsidR="007A61F2" w:rsidRPr="00234731">
        <w:rPr>
          <w:color w:val="000000" w:themeColor="text1"/>
          <w:sz w:val="26"/>
          <w:szCs w:val="26"/>
        </w:rPr>
        <w:t xml:space="preserve"> Совет депутатов, Комитет</w:t>
      </w:r>
      <w:r w:rsidR="00DD2E3A">
        <w:rPr>
          <w:color w:val="000000" w:themeColor="text1"/>
          <w:sz w:val="26"/>
          <w:szCs w:val="26"/>
        </w:rPr>
        <w:t>а</w:t>
      </w:r>
      <w:r w:rsidR="007A61F2" w:rsidRPr="00234731">
        <w:rPr>
          <w:color w:val="000000" w:themeColor="text1"/>
          <w:sz w:val="26"/>
          <w:szCs w:val="26"/>
        </w:rPr>
        <w:t xml:space="preserve"> по обеспечению деятельности органов местного самоуправления Администрации города Дудинки</w:t>
      </w:r>
      <w:r w:rsidR="00A71AA7" w:rsidRPr="00234731">
        <w:rPr>
          <w:color w:val="000000" w:themeColor="text1"/>
          <w:sz w:val="26"/>
          <w:szCs w:val="26"/>
        </w:rPr>
        <w:t>,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культуры, молодёжной политики и спорта Админист</w:t>
      </w:r>
      <w:r w:rsidR="00DD2E3A">
        <w:rPr>
          <w:color w:val="000000" w:themeColor="text1"/>
          <w:sz w:val="26"/>
          <w:szCs w:val="26"/>
        </w:rPr>
        <w:t>рации города Дудинки, Финансового</w:t>
      </w:r>
      <w:r w:rsidR="00A71AA7" w:rsidRPr="00234731">
        <w:rPr>
          <w:color w:val="000000" w:themeColor="text1"/>
          <w:sz w:val="26"/>
          <w:szCs w:val="26"/>
        </w:rPr>
        <w:t xml:space="preserve">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Администрации города Дудинки.</w:t>
      </w:r>
    </w:p>
    <w:p w:rsidR="00A71AA7" w:rsidRPr="00234731" w:rsidRDefault="00A71AA7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Итоги проверки показали следующее.</w:t>
      </w:r>
    </w:p>
    <w:p w:rsidR="000D4479" w:rsidRPr="00234731" w:rsidRDefault="005C4611" w:rsidP="000D4479">
      <w:pPr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6</w:t>
      </w:r>
      <w:r w:rsidR="001F08E8" w:rsidRPr="00234731">
        <w:rPr>
          <w:color w:val="000000" w:themeColor="text1"/>
          <w:sz w:val="26"/>
          <w:szCs w:val="26"/>
        </w:rPr>
        <w:t>.</w:t>
      </w:r>
      <w:r w:rsidR="00562DF1" w:rsidRPr="00234731">
        <w:rPr>
          <w:color w:val="000000" w:themeColor="text1"/>
          <w:sz w:val="26"/>
          <w:szCs w:val="26"/>
        </w:rPr>
        <w:t xml:space="preserve">1. </w:t>
      </w:r>
      <w:bookmarkStart w:id="1" w:name="OLE_LINK1"/>
      <w:r w:rsidR="001F08E8" w:rsidRPr="00234731">
        <w:rPr>
          <w:color w:val="000000" w:themeColor="text1"/>
          <w:sz w:val="26"/>
          <w:szCs w:val="26"/>
        </w:rPr>
        <w:t xml:space="preserve">Годовая бюджетная отчетность главными администраторами средств городского бюджета представлена в </w:t>
      </w:r>
      <w:r w:rsidR="004F3133" w:rsidRPr="00234731">
        <w:rPr>
          <w:color w:val="000000" w:themeColor="text1"/>
          <w:sz w:val="26"/>
          <w:szCs w:val="26"/>
        </w:rPr>
        <w:t>орган внешнего финансового контроля</w:t>
      </w:r>
      <w:r w:rsidR="001F08E8" w:rsidRPr="00234731">
        <w:rPr>
          <w:color w:val="000000" w:themeColor="text1"/>
          <w:sz w:val="26"/>
          <w:szCs w:val="26"/>
        </w:rPr>
        <w:t xml:space="preserve"> своевременно, в срок, установленный</w:t>
      </w:r>
      <w:r w:rsidR="00E16535" w:rsidRPr="00234731">
        <w:rPr>
          <w:color w:val="000000" w:themeColor="text1"/>
          <w:sz w:val="26"/>
          <w:szCs w:val="26"/>
        </w:rPr>
        <w:t xml:space="preserve"> </w:t>
      </w:r>
      <w:r w:rsidR="001F3C47" w:rsidRPr="00234731">
        <w:rPr>
          <w:color w:val="000000" w:themeColor="text1"/>
          <w:sz w:val="26"/>
          <w:szCs w:val="26"/>
        </w:rPr>
        <w:t>п. 4 ст. 37</w:t>
      </w:r>
      <w:r w:rsidR="00E16535" w:rsidRPr="00234731">
        <w:rPr>
          <w:color w:val="000000" w:themeColor="text1"/>
          <w:sz w:val="26"/>
          <w:szCs w:val="26"/>
        </w:rPr>
        <w:t xml:space="preserve"> Положения </w:t>
      </w:r>
      <w:r w:rsidR="001F08E8" w:rsidRPr="00234731">
        <w:rPr>
          <w:color w:val="000000" w:themeColor="text1"/>
          <w:sz w:val="26"/>
          <w:szCs w:val="26"/>
        </w:rPr>
        <w:t>о бюджетном процессе.</w:t>
      </w:r>
      <w:r w:rsidR="000D4479" w:rsidRPr="00234731">
        <w:rPr>
          <w:color w:val="000000" w:themeColor="text1"/>
          <w:sz w:val="26"/>
          <w:szCs w:val="26"/>
        </w:rPr>
        <w:t>, в сброшюрованном и пронумерованном виде с оглавлением и сопроводительным письмом и по своему составу соответствует перечню и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– Инструкция № 191н).</w:t>
      </w:r>
    </w:p>
    <w:p w:rsidR="001F08E8" w:rsidRPr="00234731" w:rsidRDefault="001F08E8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Пользователем бюджетной отчетности (Финансовым комитетом) проведена камеральная проверка представленной ему бюджетной отчетности согласно п. 10 Инструкции 191н.</w:t>
      </w:r>
    </w:p>
    <w:p w:rsidR="00562DF1" w:rsidRPr="00CB649A" w:rsidRDefault="005C4611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 xml:space="preserve">.2. </w:t>
      </w:r>
      <w:r w:rsidR="00A71AA7" w:rsidRPr="00CB649A">
        <w:rPr>
          <w:sz w:val="26"/>
          <w:szCs w:val="26"/>
        </w:rPr>
        <w:t>Внешняя п</w:t>
      </w:r>
      <w:r w:rsidR="001F5784" w:rsidRPr="00CB649A">
        <w:rPr>
          <w:sz w:val="26"/>
          <w:szCs w:val="26"/>
        </w:rPr>
        <w:t>роверка бюджетной отчетности на соответствие бюдже</w:t>
      </w:r>
      <w:r w:rsidR="00714577" w:rsidRPr="00CB649A">
        <w:rPr>
          <w:sz w:val="26"/>
          <w:szCs w:val="26"/>
        </w:rPr>
        <w:t xml:space="preserve">тному законодательству в части </w:t>
      </w:r>
      <w:r w:rsidR="001F5784" w:rsidRPr="00CB649A">
        <w:rPr>
          <w:sz w:val="26"/>
          <w:szCs w:val="26"/>
        </w:rPr>
        <w:t>состава, содержания, прозрачности и информированности показателей, недостатков не выявила. Объем и структура информации, отраженные в бюджетной отчетности</w:t>
      </w:r>
      <w:r w:rsidR="00DD2E3A">
        <w:rPr>
          <w:sz w:val="26"/>
          <w:szCs w:val="26"/>
        </w:rPr>
        <w:t>,</w:t>
      </w:r>
      <w:r w:rsidR="001F5784" w:rsidRPr="00CB649A">
        <w:rPr>
          <w:sz w:val="26"/>
          <w:szCs w:val="26"/>
        </w:rPr>
        <w:t xml:space="preserve"> позволяют сформировать представление о бюджетной деятельности </w:t>
      </w:r>
      <w:r w:rsidR="001F08E8" w:rsidRPr="00CB649A">
        <w:rPr>
          <w:sz w:val="26"/>
          <w:szCs w:val="26"/>
        </w:rPr>
        <w:t>главных администраторов</w:t>
      </w:r>
      <w:r w:rsidR="00714577" w:rsidRPr="00CB649A">
        <w:rPr>
          <w:sz w:val="26"/>
          <w:szCs w:val="26"/>
        </w:rPr>
        <w:t xml:space="preserve"> бюджетных</w:t>
      </w:r>
      <w:r w:rsidR="001F08E8" w:rsidRPr="00CB649A">
        <w:rPr>
          <w:sz w:val="26"/>
          <w:szCs w:val="26"/>
        </w:rPr>
        <w:t xml:space="preserve"> средств городского бюджета</w:t>
      </w:r>
      <w:r w:rsidR="00E041B8" w:rsidRPr="00CB649A">
        <w:rPr>
          <w:sz w:val="26"/>
          <w:szCs w:val="26"/>
        </w:rPr>
        <w:t>.</w:t>
      </w:r>
    </w:p>
    <w:p w:rsidR="00DA56F6" w:rsidRDefault="00234731" w:rsidP="0023473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>.3</w:t>
      </w:r>
      <w:r w:rsidR="00562DF1" w:rsidRPr="00CB649A">
        <w:rPr>
          <w:sz w:val="26"/>
          <w:szCs w:val="26"/>
        </w:rPr>
        <w:t xml:space="preserve">.  </w:t>
      </w:r>
      <w:r w:rsidR="001F5784" w:rsidRPr="00CB649A">
        <w:rPr>
          <w:sz w:val="26"/>
          <w:szCs w:val="26"/>
        </w:rPr>
        <w:t>Проверка обоснованности, достоверности, полноты отражения показателей в формах годовой бюджетной отчетности</w:t>
      </w:r>
      <w:r>
        <w:rPr>
          <w:sz w:val="26"/>
          <w:szCs w:val="26"/>
        </w:rPr>
        <w:t>, недостатков и нарушений не выявила.</w:t>
      </w:r>
      <w:r w:rsidR="001F5784" w:rsidRPr="00CB649A">
        <w:rPr>
          <w:sz w:val="26"/>
          <w:szCs w:val="26"/>
        </w:rPr>
        <w:t xml:space="preserve"> </w:t>
      </w:r>
      <w:bookmarkEnd w:id="1"/>
    </w:p>
    <w:p w:rsidR="00DD2E3A" w:rsidRDefault="00DD2E3A" w:rsidP="0048696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8696C" w:rsidRPr="0048696C" w:rsidRDefault="0048696C" w:rsidP="0048696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8696C">
        <w:rPr>
          <w:rFonts w:eastAsiaTheme="minorHAnsi"/>
          <w:b/>
          <w:sz w:val="26"/>
          <w:szCs w:val="26"/>
          <w:lang w:eastAsia="en-US"/>
        </w:rPr>
        <w:t>Выводы</w:t>
      </w:r>
    </w:p>
    <w:p w:rsidR="0048696C" w:rsidRPr="00125C7A" w:rsidRDefault="0048696C" w:rsidP="00AF5BDC">
      <w:pPr>
        <w:pStyle w:val="af8"/>
        <w:tabs>
          <w:tab w:val="left" w:pos="0"/>
        </w:tabs>
        <w:spacing w:line="276" w:lineRule="auto"/>
        <w:ind w:left="0" w:firstLine="709"/>
        <w:jc w:val="both"/>
        <w:outlineLvl w:val="2"/>
        <w:rPr>
          <w:color w:val="000000" w:themeColor="text1"/>
          <w:sz w:val="16"/>
          <w:szCs w:val="16"/>
        </w:rPr>
      </w:pPr>
    </w:p>
    <w:p w:rsidR="00424C67" w:rsidRPr="009F1ADE" w:rsidRDefault="00424C67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F1ADE">
        <w:rPr>
          <w:sz w:val="26"/>
          <w:szCs w:val="26"/>
        </w:rPr>
        <w:t xml:space="preserve">Годовой отчет об исполнении </w:t>
      </w:r>
      <w:r w:rsidR="000B3F2E" w:rsidRPr="009F1ADE">
        <w:rPr>
          <w:sz w:val="26"/>
          <w:szCs w:val="26"/>
        </w:rPr>
        <w:t xml:space="preserve">городского </w:t>
      </w:r>
      <w:r w:rsidRPr="009F1ADE">
        <w:rPr>
          <w:sz w:val="26"/>
          <w:szCs w:val="26"/>
        </w:rPr>
        <w:t>бюджета за 201</w:t>
      </w:r>
      <w:r w:rsidR="00234731">
        <w:rPr>
          <w:sz w:val="26"/>
          <w:szCs w:val="26"/>
        </w:rPr>
        <w:t>9</w:t>
      </w:r>
      <w:r w:rsidRPr="009F1ADE">
        <w:rPr>
          <w:sz w:val="26"/>
          <w:szCs w:val="26"/>
        </w:rPr>
        <w:t xml:space="preserve"> год представлен в Контрольно-Счетную палату с соблюдением срока, установленного статьей 264.4 БК РФ и </w:t>
      </w:r>
      <w:r w:rsidR="009F1ADE" w:rsidRPr="009F1ADE">
        <w:rPr>
          <w:bCs/>
          <w:sz w:val="26"/>
          <w:szCs w:val="26"/>
        </w:rPr>
        <w:t>п. 3 ст. 37 Положения о бюджетном процессе в городе Дудинка</w:t>
      </w:r>
      <w:r w:rsidRPr="009F1ADE">
        <w:rPr>
          <w:sz w:val="26"/>
          <w:szCs w:val="26"/>
        </w:rPr>
        <w:t xml:space="preserve">. </w:t>
      </w:r>
    </w:p>
    <w:p w:rsidR="00424C67" w:rsidRPr="009F1ADE" w:rsidRDefault="00424C67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F1ADE">
        <w:rPr>
          <w:sz w:val="26"/>
          <w:szCs w:val="26"/>
        </w:rPr>
        <w:t xml:space="preserve">По результатам внешней проверки установлено, что Отчет об исполнении </w:t>
      </w:r>
      <w:r w:rsidR="009F1ADE" w:rsidRPr="009F1ADE">
        <w:rPr>
          <w:sz w:val="26"/>
          <w:szCs w:val="26"/>
        </w:rPr>
        <w:t xml:space="preserve">городского </w:t>
      </w:r>
      <w:r w:rsidRPr="009F1ADE">
        <w:rPr>
          <w:sz w:val="26"/>
          <w:szCs w:val="26"/>
        </w:rPr>
        <w:t>бюджета за 201</w:t>
      </w:r>
      <w:r w:rsidR="00234731">
        <w:rPr>
          <w:sz w:val="26"/>
          <w:szCs w:val="26"/>
        </w:rPr>
        <w:t>9</w:t>
      </w:r>
      <w:r w:rsidRPr="009F1ADE">
        <w:rPr>
          <w:sz w:val="26"/>
          <w:szCs w:val="26"/>
        </w:rPr>
        <w:t xml:space="preserve"> год соответствует нормам и требованиям бюджетного законодательства. </w:t>
      </w:r>
    </w:p>
    <w:p w:rsidR="00424C67" w:rsidRPr="00552B79" w:rsidRDefault="00424C67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552B79">
        <w:rPr>
          <w:sz w:val="26"/>
          <w:szCs w:val="26"/>
        </w:rPr>
        <w:t xml:space="preserve">Данные, по объему доходов, расходов и источникам финансирования дефицита бюджета, представленные в годовом отчете об исполнении </w:t>
      </w:r>
      <w:r w:rsidR="006B1CE5" w:rsidRPr="00552B79">
        <w:rPr>
          <w:sz w:val="26"/>
          <w:szCs w:val="26"/>
        </w:rPr>
        <w:t xml:space="preserve">городского </w:t>
      </w:r>
      <w:r w:rsidRPr="00552B79">
        <w:rPr>
          <w:sz w:val="26"/>
          <w:szCs w:val="26"/>
        </w:rPr>
        <w:t xml:space="preserve">бюджета, согласуются с данными, отраженными в годовой </w:t>
      </w:r>
      <w:r w:rsidR="006B1CE5" w:rsidRPr="00552B79">
        <w:rPr>
          <w:sz w:val="26"/>
          <w:szCs w:val="26"/>
        </w:rPr>
        <w:t xml:space="preserve">бюджетной </w:t>
      </w:r>
      <w:r w:rsidRPr="00552B79">
        <w:rPr>
          <w:sz w:val="26"/>
          <w:szCs w:val="26"/>
        </w:rPr>
        <w:t>отчетности главных администраторов бюджетных средств, что свидетельствует о достоверности представленного отчета, как носителя информации о бюджетной деятельности в</w:t>
      </w:r>
      <w:r w:rsidR="006B1CE5" w:rsidRPr="00552B79">
        <w:rPr>
          <w:sz w:val="26"/>
          <w:szCs w:val="26"/>
        </w:rPr>
        <w:t xml:space="preserve"> городском поселении «Город Дудинка»</w:t>
      </w:r>
      <w:r w:rsidRPr="00552B79">
        <w:rPr>
          <w:sz w:val="26"/>
          <w:szCs w:val="26"/>
        </w:rPr>
        <w:t xml:space="preserve">. </w:t>
      </w:r>
    </w:p>
    <w:p w:rsidR="003156C3" w:rsidRPr="006F1285" w:rsidRDefault="003156C3" w:rsidP="00680F29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внешней </w:t>
      </w:r>
      <w:r w:rsidRPr="00991481">
        <w:rPr>
          <w:bCs/>
          <w:sz w:val="26"/>
          <w:szCs w:val="26"/>
        </w:rPr>
        <w:t>проверки</w:t>
      </w:r>
      <w:r>
        <w:rPr>
          <w:bCs/>
          <w:sz w:val="26"/>
          <w:szCs w:val="26"/>
        </w:rPr>
        <w:t xml:space="preserve"> дана</w:t>
      </w:r>
      <w:r w:rsidRPr="00991481">
        <w:rPr>
          <w:bCs/>
          <w:sz w:val="26"/>
          <w:szCs w:val="26"/>
        </w:rPr>
        <w:t xml:space="preserve"> оценка достоверности показател</w:t>
      </w:r>
      <w:r>
        <w:rPr>
          <w:bCs/>
          <w:sz w:val="26"/>
          <w:szCs w:val="26"/>
        </w:rPr>
        <w:t xml:space="preserve">ей отчета об исполнении городского бюджета, сделанная на основе </w:t>
      </w:r>
      <w:r w:rsidRPr="005303EC">
        <w:rPr>
          <w:bCs/>
          <w:sz w:val="26"/>
          <w:szCs w:val="26"/>
        </w:rPr>
        <w:t>проверк</w:t>
      </w:r>
      <w:r>
        <w:rPr>
          <w:bCs/>
          <w:sz w:val="26"/>
          <w:szCs w:val="26"/>
        </w:rPr>
        <w:t>и</w:t>
      </w:r>
      <w:r w:rsidRPr="005303EC">
        <w:rPr>
          <w:bCs/>
          <w:sz w:val="26"/>
          <w:szCs w:val="26"/>
        </w:rPr>
        <w:t xml:space="preserve"> обоснованности, достоверности, полноты отражения ГАБС</w:t>
      </w:r>
      <w:r>
        <w:rPr>
          <w:bCs/>
          <w:sz w:val="26"/>
          <w:szCs w:val="26"/>
        </w:rPr>
        <w:t xml:space="preserve"> </w:t>
      </w:r>
      <w:r w:rsidRPr="005303EC">
        <w:rPr>
          <w:bCs/>
          <w:sz w:val="26"/>
          <w:szCs w:val="26"/>
        </w:rPr>
        <w:t>показателей в формах годовой бюджетной отчетности</w:t>
      </w:r>
      <w:r>
        <w:rPr>
          <w:bCs/>
          <w:sz w:val="26"/>
          <w:szCs w:val="26"/>
        </w:rPr>
        <w:t>. При этом</w:t>
      </w:r>
      <w:r w:rsidR="002A0C3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дать </w:t>
      </w:r>
      <w:r w:rsidRPr="00991481">
        <w:rPr>
          <w:bCs/>
          <w:sz w:val="26"/>
          <w:szCs w:val="26"/>
        </w:rPr>
        <w:t>оценк</w:t>
      </w:r>
      <w:r>
        <w:rPr>
          <w:bCs/>
          <w:sz w:val="26"/>
          <w:szCs w:val="26"/>
        </w:rPr>
        <w:t>у</w:t>
      </w:r>
      <w:r w:rsidRPr="00991481">
        <w:rPr>
          <w:bCs/>
          <w:sz w:val="26"/>
          <w:szCs w:val="26"/>
        </w:rPr>
        <w:t xml:space="preserve"> эффективности бюджетных расходов, осуществляемых главными распорядителями бюджетных </w:t>
      </w:r>
      <w:r w:rsidRPr="006F1285">
        <w:rPr>
          <w:bCs/>
          <w:sz w:val="26"/>
          <w:szCs w:val="26"/>
        </w:rPr>
        <w:t xml:space="preserve">средств без проведения соответствующих </w:t>
      </w:r>
      <w:r w:rsidR="00234731">
        <w:rPr>
          <w:bCs/>
          <w:sz w:val="26"/>
          <w:szCs w:val="26"/>
        </w:rPr>
        <w:t>экспертно-</w:t>
      </w:r>
      <w:r w:rsidRPr="006F1285">
        <w:rPr>
          <w:bCs/>
          <w:sz w:val="26"/>
          <w:szCs w:val="26"/>
        </w:rPr>
        <w:t>аналитических и контрольных мероприятий не представляется возможным.</w:t>
      </w:r>
    </w:p>
    <w:p w:rsidR="003156C3" w:rsidRDefault="003156C3" w:rsidP="00680F2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F1285">
        <w:rPr>
          <w:bCs/>
          <w:sz w:val="26"/>
          <w:szCs w:val="26"/>
        </w:rPr>
        <w:t>В связи с чем, для обеспечения эффективного управления муниципальными финансами</w:t>
      </w:r>
      <w:r>
        <w:rPr>
          <w:bCs/>
          <w:sz w:val="26"/>
          <w:szCs w:val="26"/>
        </w:rPr>
        <w:t>, КСП в очередной раз предлагает Дудинскому</w:t>
      </w:r>
      <w:r w:rsidRPr="006F1285">
        <w:rPr>
          <w:bCs/>
          <w:sz w:val="26"/>
          <w:szCs w:val="26"/>
        </w:rPr>
        <w:t xml:space="preserve"> Совету депутатов</w:t>
      </w:r>
      <w:r>
        <w:rPr>
          <w:bCs/>
          <w:sz w:val="26"/>
          <w:szCs w:val="26"/>
        </w:rPr>
        <w:t>,</w:t>
      </w:r>
      <w:r w:rsidRPr="006F1285">
        <w:rPr>
          <w:bCs/>
          <w:sz w:val="26"/>
          <w:szCs w:val="26"/>
        </w:rPr>
        <w:t xml:space="preserve"> рассмотреть вопрос </w:t>
      </w:r>
      <w:r>
        <w:rPr>
          <w:bCs/>
          <w:sz w:val="26"/>
          <w:szCs w:val="26"/>
        </w:rPr>
        <w:t xml:space="preserve">организации системы </w:t>
      </w:r>
      <w:r w:rsidRPr="006F1285">
        <w:rPr>
          <w:bCs/>
          <w:sz w:val="26"/>
          <w:szCs w:val="26"/>
        </w:rPr>
        <w:t>внешне</w:t>
      </w:r>
      <w:r>
        <w:rPr>
          <w:bCs/>
          <w:sz w:val="26"/>
          <w:szCs w:val="26"/>
        </w:rPr>
        <w:t>го</w:t>
      </w:r>
      <w:r w:rsidRPr="006F1285">
        <w:rPr>
          <w:bCs/>
          <w:sz w:val="26"/>
          <w:szCs w:val="26"/>
        </w:rPr>
        <w:t xml:space="preserve"> муниципально</w:t>
      </w:r>
      <w:r>
        <w:rPr>
          <w:bCs/>
          <w:sz w:val="26"/>
          <w:szCs w:val="26"/>
        </w:rPr>
        <w:t>го</w:t>
      </w:r>
      <w:r w:rsidRPr="006F1285">
        <w:rPr>
          <w:bCs/>
          <w:sz w:val="26"/>
          <w:szCs w:val="26"/>
        </w:rPr>
        <w:t xml:space="preserve"> финансово</w:t>
      </w:r>
      <w:r>
        <w:rPr>
          <w:bCs/>
          <w:sz w:val="26"/>
          <w:szCs w:val="26"/>
        </w:rPr>
        <w:t>го</w:t>
      </w:r>
      <w:r w:rsidRPr="006F1285">
        <w:rPr>
          <w:bCs/>
          <w:sz w:val="26"/>
          <w:szCs w:val="26"/>
        </w:rPr>
        <w:t xml:space="preserve"> контрол</w:t>
      </w:r>
      <w:r>
        <w:rPr>
          <w:bCs/>
          <w:sz w:val="26"/>
          <w:szCs w:val="26"/>
        </w:rPr>
        <w:t>я</w:t>
      </w:r>
      <w:r w:rsidRPr="003A728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города Дудинка в соответствии с установленными нормами</w:t>
      </w:r>
      <w:r w:rsidR="00217951">
        <w:rPr>
          <w:bCs/>
          <w:sz w:val="26"/>
          <w:szCs w:val="26"/>
        </w:rPr>
        <w:t xml:space="preserve"> бюджетного законодательства РФ.</w:t>
      </w:r>
    </w:p>
    <w:p w:rsidR="00424C67" w:rsidRPr="003156C3" w:rsidRDefault="003156C3" w:rsidP="00680F2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156C3">
        <w:rPr>
          <w:color w:val="000000" w:themeColor="text1"/>
          <w:sz w:val="26"/>
          <w:szCs w:val="26"/>
        </w:rPr>
        <w:t>Годовой о</w:t>
      </w:r>
      <w:r w:rsidR="00424C67" w:rsidRPr="003156C3">
        <w:rPr>
          <w:color w:val="000000" w:themeColor="text1"/>
          <w:sz w:val="26"/>
          <w:szCs w:val="26"/>
        </w:rPr>
        <w:t xml:space="preserve">тчет об исполнении </w:t>
      </w:r>
      <w:r w:rsidRPr="003156C3">
        <w:rPr>
          <w:color w:val="000000" w:themeColor="text1"/>
          <w:sz w:val="26"/>
          <w:szCs w:val="26"/>
        </w:rPr>
        <w:t xml:space="preserve">городского </w:t>
      </w:r>
      <w:r w:rsidR="00424C67" w:rsidRPr="003156C3">
        <w:rPr>
          <w:color w:val="000000" w:themeColor="text1"/>
          <w:sz w:val="26"/>
          <w:szCs w:val="26"/>
        </w:rPr>
        <w:t>бюджета за 201</w:t>
      </w:r>
      <w:r w:rsidR="00234731">
        <w:rPr>
          <w:color w:val="000000" w:themeColor="text1"/>
          <w:sz w:val="26"/>
          <w:szCs w:val="26"/>
        </w:rPr>
        <w:t>9</w:t>
      </w:r>
      <w:r w:rsidR="00424C67" w:rsidRPr="003156C3">
        <w:rPr>
          <w:color w:val="000000" w:themeColor="text1"/>
          <w:sz w:val="26"/>
          <w:szCs w:val="26"/>
        </w:rPr>
        <w:t xml:space="preserve"> год может быть рассмотрен </w:t>
      </w:r>
      <w:r w:rsidR="00C40E97">
        <w:rPr>
          <w:color w:val="000000" w:themeColor="text1"/>
          <w:sz w:val="26"/>
          <w:szCs w:val="26"/>
        </w:rPr>
        <w:t xml:space="preserve">и принят </w:t>
      </w:r>
      <w:r w:rsidRPr="003156C3">
        <w:rPr>
          <w:bCs/>
          <w:color w:val="000000" w:themeColor="text1"/>
          <w:sz w:val="26"/>
          <w:szCs w:val="26"/>
        </w:rPr>
        <w:t>Дудинским городским Советом депутатов</w:t>
      </w:r>
      <w:r w:rsidR="00424C67" w:rsidRPr="003156C3">
        <w:rPr>
          <w:color w:val="000000" w:themeColor="text1"/>
          <w:sz w:val="26"/>
          <w:szCs w:val="26"/>
        </w:rPr>
        <w:t>.</w:t>
      </w:r>
    </w:p>
    <w:p w:rsidR="00CE5B2C" w:rsidRPr="00CE5B2C" w:rsidRDefault="00CE5B2C" w:rsidP="00CE5B2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16"/>
          <w:szCs w:val="16"/>
        </w:rPr>
      </w:pPr>
    </w:p>
    <w:p w:rsidR="00FF0A30" w:rsidRDefault="00FF0A30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3156C3" w:rsidRDefault="003156C3" w:rsidP="00710C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</w:t>
      </w:r>
    </w:p>
    <w:p w:rsidR="006D58A4" w:rsidRPr="001D5D9E" w:rsidRDefault="003156C3" w:rsidP="00710C98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экспертно-аналитического отдела</w:t>
      </w:r>
      <w:r w:rsidR="00697BAF" w:rsidRPr="001D5D9E">
        <w:rPr>
          <w:b/>
          <w:sz w:val="26"/>
          <w:szCs w:val="26"/>
        </w:rPr>
        <w:t xml:space="preserve">             </w:t>
      </w:r>
      <w:r w:rsidR="00756FA7" w:rsidRPr="001D5D9E">
        <w:rPr>
          <w:b/>
          <w:sz w:val="26"/>
          <w:szCs w:val="26"/>
        </w:rPr>
        <w:t xml:space="preserve">          </w:t>
      </w:r>
      <w:r w:rsidR="00221A7A" w:rsidRPr="001D5D9E">
        <w:rPr>
          <w:b/>
          <w:sz w:val="26"/>
          <w:szCs w:val="26"/>
        </w:rPr>
        <w:t xml:space="preserve"> </w:t>
      </w:r>
      <w:r w:rsidR="00763B54">
        <w:rPr>
          <w:b/>
          <w:sz w:val="26"/>
          <w:szCs w:val="26"/>
        </w:rPr>
        <w:t xml:space="preserve">            </w:t>
      </w:r>
      <w:r w:rsidR="00221A7A" w:rsidRPr="001D5D9E">
        <w:rPr>
          <w:b/>
          <w:sz w:val="26"/>
          <w:szCs w:val="26"/>
        </w:rPr>
        <w:t xml:space="preserve">         </w:t>
      </w:r>
      <w:r w:rsidR="00756FA7" w:rsidRPr="001D5D9E">
        <w:rPr>
          <w:b/>
          <w:sz w:val="26"/>
          <w:szCs w:val="26"/>
        </w:rPr>
        <w:t xml:space="preserve">    </w:t>
      </w:r>
      <w:r w:rsidR="006252EC" w:rsidRPr="001D5D9E">
        <w:rPr>
          <w:b/>
          <w:sz w:val="26"/>
          <w:szCs w:val="26"/>
        </w:rPr>
        <w:t xml:space="preserve">    </w:t>
      </w:r>
      <w:r w:rsidR="00756FA7" w:rsidRPr="001D5D9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</w:t>
      </w:r>
      <w:r w:rsidR="00756FA7" w:rsidRPr="001D5D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С.А. Симутин</w:t>
      </w:r>
    </w:p>
    <w:sectPr w:rsidR="006D58A4" w:rsidRPr="001D5D9E" w:rsidSect="00DA4B46">
      <w:headerReference w:type="even" r:id="rId9"/>
      <w:headerReference w:type="default" r:id="rId10"/>
      <w:footnotePr>
        <w:numStart w:val="3"/>
      </w:footnotePr>
      <w:type w:val="continuous"/>
      <w:pgSz w:w="11906" w:h="16838"/>
      <w:pgMar w:top="1276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D0" w:rsidRDefault="00E112D0">
      <w:r>
        <w:separator/>
      </w:r>
    </w:p>
  </w:endnote>
  <w:endnote w:type="continuationSeparator" w:id="0">
    <w:p w:rsidR="00E112D0" w:rsidRDefault="00E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D0" w:rsidRDefault="00E112D0">
      <w:r>
        <w:separator/>
      </w:r>
    </w:p>
  </w:footnote>
  <w:footnote w:type="continuationSeparator" w:id="0">
    <w:p w:rsidR="00E112D0" w:rsidRDefault="00E1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D0" w:rsidRDefault="00E112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12D0" w:rsidRDefault="00E112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D0" w:rsidRDefault="00E112D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13DC">
      <w:rPr>
        <w:rStyle w:val="ac"/>
        <w:noProof/>
      </w:rPr>
      <w:t>2</w:t>
    </w:r>
    <w:r>
      <w:rPr>
        <w:rStyle w:val="ac"/>
      </w:rPr>
      <w:fldChar w:fldCharType="end"/>
    </w:r>
  </w:p>
  <w:p w:rsidR="00E112D0" w:rsidRDefault="00E112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1BF0"/>
    <w:multiLevelType w:val="multilevel"/>
    <w:tmpl w:val="D5F6F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30218D0"/>
    <w:multiLevelType w:val="multilevel"/>
    <w:tmpl w:val="A8F435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0B736E09"/>
    <w:multiLevelType w:val="hybridMultilevel"/>
    <w:tmpl w:val="E2E06B04"/>
    <w:lvl w:ilvl="0" w:tplc="F94EB9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E3A2F"/>
    <w:multiLevelType w:val="hybridMultilevel"/>
    <w:tmpl w:val="E5267444"/>
    <w:lvl w:ilvl="0" w:tplc="27D4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3B9C"/>
    <w:multiLevelType w:val="hybridMultilevel"/>
    <w:tmpl w:val="0E6C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650AC"/>
    <w:multiLevelType w:val="hybridMultilevel"/>
    <w:tmpl w:val="57D4E158"/>
    <w:lvl w:ilvl="0" w:tplc="02389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A7F17"/>
    <w:multiLevelType w:val="hybridMultilevel"/>
    <w:tmpl w:val="287A1D82"/>
    <w:lvl w:ilvl="0" w:tplc="BD2E3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771459"/>
    <w:multiLevelType w:val="hybridMultilevel"/>
    <w:tmpl w:val="5EC0547E"/>
    <w:lvl w:ilvl="0" w:tplc="F3802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5A2B3D"/>
    <w:multiLevelType w:val="multilevel"/>
    <w:tmpl w:val="13D2C1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6802ACB"/>
    <w:multiLevelType w:val="hybridMultilevel"/>
    <w:tmpl w:val="EC8A1952"/>
    <w:lvl w:ilvl="0" w:tplc="655E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6660E1"/>
    <w:multiLevelType w:val="multilevel"/>
    <w:tmpl w:val="D9CE4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25241BC"/>
    <w:multiLevelType w:val="hybridMultilevel"/>
    <w:tmpl w:val="79FC267C"/>
    <w:lvl w:ilvl="0" w:tplc="76E25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9A305D"/>
    <w:multiLevelType w:val="hybridMultilevel"/>
    <w:tmpl w:val="9CFACE14"/>
    <w:lvl w:ilvl="0" w:tplc="2EC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23B24"/>
    <w:multiLevelType w:val="hybridMultilevel"/>
    <w:tmpl w:val="CF128CCC"/>
    <w:lvl w:ilvl="0" w:tplc="BC48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C606C"/>
    <w:multiLevelType w:val="hybridMultilevel"/>
    <w:tmpl w:val="4496AB80"/>
    <w:lvl w:ilvl="0" w:tplc="7D8E20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370038D1"/>
    <w:multiLevelType w:val="multilevel"/>
    <w:tmpl w:val="91C24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39646468"/>
    <w:multiLevelType w:val="hybridMultilevel"/>
    <w:tmpl w:val="5E6CAE82"/>
    <w:lvl w:ilvl="0" w:tplc="4C468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B624C"/>
    <w:multiLevelType w:val="hybridMultilevel"/>
    <w:tmpl w:val="E5A485BA"/>
    <w:lvl w:ilvl="0" w:tplc="5CF82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262B11"/>
    <w:multiLevelType w:val="multilevel"/>
    <w:tmpl w:val="E382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72451"/>
    <w:multiLevelType w:val="multilevel"/>
    <w:tmpl w:val="C59C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8F10EB2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60538"/>
    <w:multiLevelType w:val="hybridMultilevel"/>
    <w:tmpl w:val="C60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E5E51"/>
    <w:multiLevelType w:val="multilevel"/>
    <w:tmpl w:val="DD6E83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61C4370"/>
    <w:multiLevelType w:val="multilevel"/>
    <w:tmpl w:val="45D44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9">
    <w:nsid w:val="585F7F52"/>
    <w:multiLevelType w:val="hybridMultilevel"/>
    <w:tmpl w:val="7F16F0C8"/>
    <w:lvl w:ilvl="0" w:tplc="8F924F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2516E6"/>
    <w:multiLevelType w:val="hybridMultilevel"/>
    <w:tmpl w:val="04B034A2"/>
    <w:lvl w:ilvl="0" w:tplc="2F4E17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CF902F8"/>
    <w:multiLevelType w:val="multilevel"/>
    <w:tmpl w:val="C0AE5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2">
    <w:nsid w:val="5E6A5806"/>
    <w:multiLevelType w:val="multilevel"/>
    <w:tmpl w:val="27F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A34CA"/>
    <w:multiLevelType w:val="hybridMultilevel"/>
    <w:tmpl w:val="CB80A2BA"/>
    <w:lvl w:ilvl="0" w:tplc="AD16B64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620AF"/>
    <w:multiLevelType w:val="multilevel"/>
    <w:tmpl w:val="105E2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5">
    <w:nsid w:val="645D1783"/>
    <w:multiLevelType w:val="hybridMultilevel"/>
    <w:tmpl w:val="91945F64"/>
    <w:lvl w:ilvl="0" w:tplc="764CB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D573B0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AB79E1"/>
    <w:multiLevelType w:val="hybridMultilevel"/>
    <w:tmpl w:val="7E920E4A"/>
    <w:lvl w:ilvl="0" w:tplc="E438C9F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08AA"/>
    <w:multiLevelType w:val="hybridMultilevel"/>
    <w:tmpl w:val="050ABE3A"/>
    <w:lvl w:ilvl="0" w:tplc="AEFA33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2816D9"/>
    <w:multiLevelType w:val="hybridMultilevel"/>
    <w:tmpl w:val="86A4AF4A"/>
    <w:lvl w:ilvl="0" w:tplc="1CE628A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12436F"/>
    <w:multiLevelType w:val="hybridMultilevel"/>
    <w:tmpl w:val="C7848FAE"/>
    <w:lvl w:ilvl="0" w:tplc="A238B7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7A7079"/>
    <w:multiLevelType w:val="hybridMultilevel"/>
    <w:tmpl w:val="D38C5D7E"/>
    <w:lvl w:ilvl="0" w:tplc="157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CBE94">
      <w:numFmt w:val="none"/>
      <w:lvlText w:val=""/>
      <w:lvlJc w:val="left"/>
      <w:pPr>
        <w:tabs>
          <w:tab w:val="num" w:pos="360"/>
        </w:tabs>
      </w:pPr>
    </w:lvl>
    <w:lvl w:ilvl="2" w:tplc="E1B204F2">
      <w:numFmt w:val="none"/>
      <w:lvlText w:val=""/>
      <w:lvlJc w:val="left"/>
      <w:pPr>
        <w:tabs>
          <w:tab w:val="num" w:pos="360"/>
        </w:tabs>
      </w:pPr>
    </w:lvl>
    <w:lvl w:ilvl="3" w:tplc="F92EEF70">
      <w:numFmt w:val="none"/>
      <w:lvlText w:val=""/>
      <w:lvlJc w:val="left"/>
      <w:pPr>
        <w:tabs>
          <w:tab w:val="num" w:pos="360"/>
        </w:tabs>
      </w:pPr>
    </w:lvl>
    <w:lvl w:ilvl="4" w:tplc="5924316E">
      <w:numFmt w:val="none"/>
      <w:lvlText w:val=""/>
      <w:lvlJc w:val="left"/>
      <w:pPr>
        <w:tabs>
          <w:tab w:val="num" w:pos="360"/>
        </w:tabs>
      </w:pPr>
    </w:lvl>
    <w:lvl w:ilvl="5" w:tplc="944480F2">
      <w:numFmt w:val="none"/>
      <w:lvlText w:val=""/>
      <w:lvlJc w:val="left"/>
      <w:pPr>
        <w:tabs>
          <w:tab w:val="num" w:pos="360"/>
        </w:tabs>
      </w:pPr>
    </w:lvl>
    <w:lvl w:ilvl="6" w:tplc="692882EE">
      <w:numFmt w:val="none"/>
      <w:lvlText w:val=""/>
      <w:lvlJc w:val="left"/>
      <w:pPr>
        <w:tabs>
          <w:tab w:val="num" w:pos="360"/>
        </w:tabs>
      </w:pPr>
    </w:lvl>
    <w:lvl w:ilvl="7" w:tplc="44B68108">
      <w:numFmt w:val="none"/>
      <w:lvlText w:val=""/>
      <w:lvlJc w:val="left"/>
      <w:pPr>
        <w:tabs>
          <w:tab w:val="num" w:pos="360"/>
        </w:tabs>
      </w:pPr>
    </w:lvl>
    <w:lvl w:ilvl="8" w:tplc="79CE307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C75568B"/>
    <w:multiLevelType w:val="hybridMultilevel"/>
    <w:tmpl w:val="273CB4EE"/>
    <w:lvl w:ilvl="0" w:tplc="A56225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F73855"/>
    <w:multiLevelType w:val="hybridMultilevel"/>
    <w:tmpl w:val="DD34916A"/>
    <w:lvl w:ilvl="0" w:tplc="6A9A1A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FBF1D3F"/>
    <w:multiLevelType w:val="hybridMultilevel"/>
    <w:tmpl w:val="09D801CE"/>
    <w:lvl w:ilvl="0" w:tplc="9E468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"/>
  </w:num>
  <w:num w:numId="3">
    <w:abstractNumId w:val="8"/>
  </w:num>
  <w:num w:numId="4">
    <w:abstractNumId w:val="12"/>
  </w:num>
  <w:num w:numId="5">
    <w:abstractNumId w:val="29"/>
  </w:num>
  <w:num w:numId="6">
    <w:abstractNumId w:val="38"/>
  </w:num>
  <w:num w:numId="7">
    <w:abstractNumId w:val="21"/>
  </w:num>
  <w:num w:numId="8">
    <w:abstractNumId w:val="14"/>
  </w:num>
  <w:num w:numId="9">
    <w:abstractNumId w:val="43"/>
  </w:num>
  <w:num w:numId="10">
    <w:abstractNumId w:val="19"/>
  </w:num>
  <w:num w:numId="11">
    <w:abstractNumId w:val="10"/>
  </w:num>
  <w:num w:numId="12">
    <w:abstractNumId w:val="0"/>
  </w:num>
  <w:num w:numId="13">
    <w:abstractNumId w:val="4"/>
  </w:num>
  <w:num w:numId="14">
    <w:abstractNumId w:val="24"/>
  </w:num>
  <w:num w:numId="15">
    <w:abstractNumId w:val="13"/>
  </w:num>
  <w:num w:numId="16">
    <w:abstractNumId w:val="22"/>
  </w:num>
  <w:num w:numId="17">
    <w:abstractNumId w:val="9"/>
  </w:num>
  <w:num w:numId="18">
    <w:abstractNumId w:val="35"/>
  </w:num>
  <w:num w:numId="19">
    <w:abstractNumId w:val="18"/>
  </w:num>
  <w:num w:numId="20">
    <w:abstractNumId w:val="25"/>
  </w:num>
  <w:num w:numId="21">
    <w:abstractNumId w:val="36"/>
  </w:num>
  <w:num w:numId="22">
    <w:abstractNumId w:val="30"/>
  </w:num>
  <w:num w:numId="23">
    <w:abstractNumId w:val="17"/>
  </w:num>
  <w:num w:numId="24">
    <w:abstractNumId w:val="15"/>
  </w:num>
  <w:num w:numId="25">
    <w:abstractNumId w:val="41"/>
  </w:num>
  <w:num w:numId="26">
    <w:abstractNumId w:val="32"/>
  </w:num>
  <w:num w:numId="27">
    <w:abstractNumId w:val="20"/>
  </w:num>
  <w:num w:numId="28">
    <w:abstractNumId w:val="11"/>
  </w:num>
  <w:num w:numId="29">
    <w:abstractNumId w:val="16"/>
  </w:num>
  <w:num w:numId="30">
    <w:abstractNumId w:val="23"/>
  </w:num>
  <w:num w:numId="31">
    <w:abstractNumId w:val="7"/>
  </w:num>
  <w:num w:numId="32">
    <w:abstractNumId w:val="40"/>
  </w:num>
  <w:num w:numId="33">
    <w:abstractNumId w:val="5"/>
  </w:num>
  <w:num w:numId="34">
    <w:abstractNumId w:val="33"/>
  </w:num>
  <w:num w:numId="35">
    <w:abstractNumId w:val="26"/>
  </w:num>
  <w:num w:numId="36">
    <w:abstractNumId w:val="1"/>
  </w:num>
  <w:num w:numId="37">
    <w:abstractNumId w:val="27"/>
  </w:num>
  <w:num w:numId="38">
    <w:abstractNumId w:val="37"/>
  </w:num>
  <w:num w:numId="39">
    <w:abstractNumId w:val="28"/>
  </w:num>
  <w:num w:numId="40">
    <w:abstractNumId w:val="6"/>
  </w:num>
  <w:num w:numId="41">
    <w:abstractNumId w:val="44"/>
  </w:num>
  <w:num w:numId="42">
    <w:abstractNumId w:val="34"/>
  </w:num>
  <w:num w:numId="43">
    <w:abstractNumId w:val="2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EB1"/>
    <w:rsid w:val="000001EA"/>
    <w:rsid w:val="00001085"/>
    <w:rsid w:val="00001411"/>
    <w:rsid w:val="00001443"/>
    <w:rsid w:val="00001D0A"/>
    <w:rsid w:val="000028A5"/>
    <w:rsid w:val="000029D2"/>
    <w:rsid w:val="00002C2B"/>
    <w:rsid w:val="00002C7D"/>
    <w:rsid w:val="0000409E"/>
    <w:rsid w:val="00004690"/>
    <w:rsid w:val="00005A24"/>
    <w:rsid w:val="00005F7A"/>
    <w:rsid w:val="00006425"/>
    <w:rsid w:val="00006648"/>
    <w:rsid w:val="00006FE4"/>
    <w:rsid w:val="00007058"/>
    <w:rsid w:val="00007C2C"/>
    <w:rsid w:val="00010838"/>
    <w:rsid w:val="00010B7C"/>
    <w:rsid w:val="000125A5"/>
    <w:rsid w:val="000131BC"/>
    <w:rsid w:val="00014977"/>
    <w:rsid w:val="00015686"/>
    <w:rsid w:val="0001689F"/>
    <w:rsid w:val="000213DC"/>
    <w:rsid w:val="00021C5A"/>
    <w:rsid w:val="000235AA"/>
    <w:rsid w:val="00023F08"/>
    <w:rsid w:val="000243E7"/>
    <w:rsid w:val="0002646C"/>
    <w:rsid w:val="00026E27"/>
    <w:rsid w:val="000270CC"/>
    <w:rsid w:val="00031AE3"/>
    <w:rsid w:val="00034654"/>
    <w:rsid w:val="000354FB"/>
    <w:rsid w:val="00035595"/>
    <w:rsid w:val="00036693"/>
    <w:rsid w:val="000371C3"/>
    <w:rsid w:val="0003757F"/>
    <w:rsid w:val="000402FA"/>
    <w:rsid w:val="000418FF"/>
    <w:rsid w:val="000419C2"/>
    <w:rsid w:val="00041D40"/>
    <w:rsid w:val="00042356"/>
    <w:rsid w:val="00042814"/>
    <w:rsid w:val="0004388B"/>
    <w:rsid w:val="000449C1"/>
    <w:rsid w:val="000451F0"/>
    <w:rsid w:val="00045987"/>
    <w:rsid w:val="00047DC1"/>
    <w:rsid w:val="0005226B"/>
    <w:rsid w:val="00053731"/>
    <w:rsid w:val="00053809"/>
    <w:rsid w:val="00054FA3"/>
    <w:rsid w:val="000578DD"/>
    <w:rsid w:val="000605C5"/>
    <w:rsid w:val="00061EE9"/>
    <w:rsid w:val="00062729"/>
    <w:rsid w:val="0006354B"/>
    <w:rsid w:val="00064B46"/>
    <w:rsid w:val="00066C3E"/>
    <w:rsid w:val="000676CF"/>
    <w:rsid w:val="00067B02"/>
    <w:rsid w:val="0007048C"/>
    <w:rsid w:val="00070A7A"/>
    <w:rsid w:val="00070AC4"/>
    <w:rsid w:val="00070DC4"/>
    <w:rsid w:val="0007119B"/>
    <w:rsid w:val="0007293E"/>
    <w:rsid w:val="00072FEF"/>
    <w:rsid w:val="000735AA"/>
    <w:rsid w:val="0007361F"/>
    <w:rsid w:val="00074710"/>
    <w:rsid w:val="00074712"/>
    <w:rsid w:val="0007487E"/>
    <w:rsid w:val="00075FE0"/>
    <w:rsid w:val="00076F65"/>
    <w:rsid w:val="00081A3D"/>
    <w:rsid w:val="00081D5F"/>
    <w:rsid w:val="00083E24"/>
    <w:rsid w:val="00083F31"/>
    <w:rsid w:val="0008442B"/>
    <w:rsid w:val="00085F4C"/>
    <w:rsid w:val="0008699B"/>
    <w:rsid w:val="00086AEF"/>
    <w:rsid w:val="00086AFA"/>
    <w:rsid w:val="00086AFB"/>
    <w:rsid w:val="00087722"/>
    <w:rsid w:val="0008776B"/>
    <w:rsid w:val="00087972"/>
    <w:rsid w:val="00087985"/>
    <w:rsid w:val="00087BD8"/>
    <w:rsid w:val="00090543"/>
    <w:rsid w:val="00090BA8"/>
    <w:rsid w:val="00093125"/>
    <w:rsid w:val="00093681"/>
    <w:rsid w:val="000941E6"/>
    <w:rsid w:val="00094584"/>
    <w:rsid w:val="00095946"/>
    <w:rsid w:val="0009624D"/>
    <w:rsid w:val="00096E0A"/>
    <w:rsid w:val="00096E33"/>
    <w:rsid w:val="000972CD"/>
    <w:rsid w:val="000A058D"/>
    <w:rsid w:val="000A2444"/>
    <w:rsid w:val="000A2A06"/>
    <w:rsid w:val="000A31ED"/>
    <w:rsid w:val="000A3344"/>
    <w:rsid w:val="000A3487"/>
    <w:rsid w:val="000A3FCD"/>
    <w:rsid w:val="000A48B1"/>
    <w:rsid w:val="000A4BE9"/>
    <w:rsid w:val="000A6180"/>
    <w:rsid w:val="000A6857"/>
    <w:rsid w:val="000A7545"/>
    <w:rsid w:val="000B033D"/>
    <w:rsid w:val="000B297A"/>
    <w:rsid w:val="000B2985"/>
    <w:rsid w:val="000B3DEF"/>
    <w:rsid w:val="000B3F2E"/>
    <w:rsid w:val="000B411A"/>
    <w:rsid w:val="000B541A"/>
    <w:rsid w:val="000B565E"/>
    <w:rsid w:val="000B5DA1"/>
    <w:rsid w:val="000B665E"/>
    <w:rsid w:val="000B6DF3"/>
    <w:rsid w:val="000C6767"/>
    <w:rsid w:val="000C68D7"/>
    <w:rsid w:val="000C69A1"/>
    <w:rsid w:val="000C7872"/>
    <w:rsid w:val="000C7A8D"/>
    <w:rsid w:val="000D0007"/>
    <w:rsid w:val="000D1607"/>
    <w:rsid w:val="000D2765"/>
    <w:rsid w:val="000D3472"/>
    <w:rsid w:val="000D37E0"/>
    <w:rsid w:val="000D4479"/>
    <w:rsid w:val="000D516C"/>
    <w:rsid w:val="000D68A7"/>
    <w:rsid w:val="000D6B37"/>
    <w:rsid w:val="000D6BDA"/>
    <w:rsid w:val="000D741F"/>
    <w:rsid w:val="000D7949"/>
    <w:rsid w:val="000E0A86"/>
    <w:rsid w:val="000E43BA"/>
    <w:rsid w:val="000E46CC"/>
    <w:rsid w:val="000E472C"/>
    <w:rsid w:val="000E49BB"/>
    <w:rsid w:val="000E4B20"/>
    <w:rsid w:val="000E52E8"/>
    <w:rsid w:val="000E63A7"/>
    <w:rsid w:val="000E644A"/>
    <w:rsid w:val="000F01CC"/>
    <w:rsid w:val="000F10AD"/>
    <w:rsid w:val="000F13E7"/>
    <w:rsid w:val="000F18F7"/>
    <w:rsid w:val="000F29EE"/>
    <w:rsid w:val="000F2DF8"/>
    <w:rsid w:val="000F46A6"/>
    <w:rsid w:val="000F5C8C"/>
    <w:rsid w:val="000F5FCE"/>
    <w:rsid w:val="000F5FEB"/>
    <w:rsid w:val="000F7647"/>
    <w:rsid w:val="00100614"/>
    <w:rsid w:val="0010082F"/>
    <w:rsid w:val="0010085A"/>
    <w:rsid w:val="00100E90"/>
    <w:rsid w:val="0010132B"/>
    <w:rsid w:val="00101434"/>
    <w:rsid w:val="001015BB"/>
    <w:rsid w:val="00101F53"/>
    <w:rsid w:val="00102670"/>
    <w:rsid w:val="001036E9"/>
    <w:rsid w:val="00103ED6"/>
    <w:rsid w:val="00103F57"/>
    <w:rsid w:val="0010510D"/>
    <w:rsid w:val="001058A4"/>
    <w:rsid w:val="00105FC3"/>
    <w:rsid w:val="0010662B"/>
    <w:rsid w:val="00106E42"/>
    <w:rsid w:val="00107F41"/>
    <w:rsid w:val="00110EC5"/>
    <w:rsid w:val="001112AA"/>
    <w:rsid w:val="00111370"/>
    <w:rsid w:val="00111755"/>
    <w:rsid w:val="00111E6E"/>
    <w:rsid w:val="001120BD"/>
    <w:rsid w:val="001120D3"/>
    <w:rsid w:val="0011212E"/>
    <w:rsid w:val="0011287A"/>
    <w:rsid w:val="001128B2"/>
    <w:rsid w:val="00112BE6"/>
    <w:rsid w:val="0011300D"/>
    <w:rsid w:val="00113B86"/>
    <w:rsid w:val="00116895"/>
    <w:rsid w:val="00117207"/>
    <w:rsid w:val="00117B7A"/>
    <w:rsid w:val="0012083A"/>
    <w:rsid w:val="00120C66"/>
    <w:rsid w:val="0012171C"/>
    <w:rsid w:val="00123378"/>
    <w:rsid w:val="0012384D"/>
    <w:rsid w:val="0012451F"/>
    <w:rsid w:val="00124706"/>
    <w:rsid w:val="00125C7A"/>
    <w:rsid w:val="0013096F"/>
    <w:rsid w:val="0013168C"/>
    <w:rsid w:val="00131DD5"/>
    <w:rsid w:val="001326EC"/>
    <w:rsid w:val="00132B37"/>
    <w:rsid w:val="001361E4"/>
    <w:rsid w:val="0013662D"/>
    <w:rsid w:val="0013684C"/>
    <w:rsid w:val="00140E50"/>
    <w:rsid w:val="001418A6"/>
    <w:rsid w:val="00142653"/>
    <w:rsid w:val="00142894"/>
    <w:rsid w:val="00142949"/>
    <w:rsid w:val="00143D4A"/>
    <w:rsid w:val="00144778"/>
    <w:rsid w:val="00145D09"/>
    <w:rsid w:val="00146A69"/>
    <w:rsid w:val="00146D34"/>
    <w:rsid w:val="00146D6C"/>
    <w:rsid w:val="00147D27"/>
    <w:rsid w:val="00152884"/>
    <w:rsid w:val="00152E6B"/>
    <w:rsid w:val="00153036"/>
    <w:rsid w:val="00153A41"/>
    <w:rsid w:val="001548F0"/>
    <w:rsid w:val="001551F1"/>
    <w:rsid w:val="00155225"/>
    <w:rsid w:val="001553F7"/>
    <w:rsid w:val="001554EA"/>
    <w:rsid w:val="00155D7E"/>
    <w:rsid w:val="00156CCA"/>
    <w:rsid w:val="00156F9F"/>
    <w:rsid w:val="00160294"/>
    <w:rsid w:val="0016058B"/>
    <w:rsid w:val="001609A9"/>
    <w:rsid w:val="00161C53"/>
    <w:rsid w:val="0016285D"/>
    <w:rsid w:val="0016388C"/>
    <w:rsid w:val="00163C90"/>
    <w:rsid w:val="0016422F"/>
    <w:rsid w:val="001650AA"/>
    <w:rsid w:val="001654A1"/>
    <w:rsid w:val="001667A9"/>
    <w:rsid w:val="00166BC8"/>
    <w:rsid w:val="001672F3"/>
    <w:rsid w:val="00172095"/>
    <w:rsid w:val="00173649"/>
    <w:rsid w:val="00173F0B"/>
    <w:rsid w:val="00174FA1"/>
    <w:rsid w:val="001750CD"/>
    <w:rsid w:val="00176EF6"/>
    <w:rsid w:val="00177A64"/>
    <w:rsid w:val="001822D3"/>
    <w:rsid w:val="00182781"/>
    <w:rsid w:val="00182E62"/>
    <w:rsid w:val="00182EAC"/>
    <w:rsid w:val="001834D1"/>
    <w:rsid w:val="001844DE"/>
    <w:rsid w:val="00184CC0"/>
    <w:rsid w:val="00185679"/>
    <w:rsid w:val="00185782"/>
    <w:rsid w:val="00185992"/>
    <w:rsid w:val="00185DA1"/>
    <w:rsid w:val="0018685F"/>
    <w:rsid w:val="00187B4C"/>
    <w:rsid w:val="00191677"/>
    <w:rsid w:val="00191C68"/>
    <w:rsid w:val="00191F91"/>
    <w:rsid w:val="001923B8"/>
    <w:rsid w:val="0019250E"/>
    <w:rsid w:val="00193565"/>
    <w:rsid w:val="00194D89"/>
    <w:rsid w:val="0019724D"/>
    <w:rsid w:val="00197AC5"/>
    <w:rsid w:val="001A038E"/>
    <w:rsid w:val="001A091C"/>
    <w:rsid w:val="001A170D"/>
    <w:rsid w:val="001A1B5C"/>
    <w:rsid w:val="001A2E15"/>
    <w:rsid w:val="001A35B1"/>
    <w:rsid w:val="001A42BB"/>
    <w:rsid w:val="001A4B96"/>
    <w:rsid w:val="001A581A"/>
    <w:rsid w:val="001A6166"/>
    <w:rsid w:val="001A6208"/>
    <w:rsid w:val="001A63A1"/>
    <w:rsid w:val="001A6684"/>
    <w:rsid w:val="001A77EC"/>
    <w:rsid w:val="001B1BBF"/>
    <w:rsid w:val="001B38D4"/>
    <w:rsid w:val="001B390A"/>
    <w:rsid w:val="001B3964"/>
    <w:rsid w:val="001B5A8C"/>
    <w:rsid w:val="001B5D12"/>
    <w:rsid w:val="001B62CB"/>
    <w:rsid w:val="001B78D8"/>
    <w:rsid w:val="001B7A0B"/>
    <w:rsid w:val="001C046F"/>
    <w:rsid w:val="001C20FC"/>
    <w:rsid w:val="001C2B4A"/>
    <w:rsid w:val="001C33AD"/>
    <w:rsid w:val="001C496A"/>
    <w:rsid w:val="001C7EA0"/>
    <w:rsid w:val="001D00ED"/>
    <w:rsid w:val="001D051A"/>
    <w:rsid w:val="001D0912"/>
    <w:rsid w:val="001D383B"/>
    <w:rsid w:val="001D3FB3"/>
    <w:rsid w:val="001D559B"/>
    <w:rsid w:val="001D5927"/>
    <w:rsid w:val="001D5D9E"/>
    <w:rsid w:val="001D67A9"/>
    <w:rsid w:val="001D773A"/>
    <w:rsid w:val="001D7894"/>
    <w:rsid w:val="001E16AF"/>
    <w:rsid w:val="001E18EB"/>
    <w:rsid w:val="001E1BD6"/>
    <w:rsid w:val="001E28C4"/>
    <w:rsid w:val="001E338E"/>
    <w:rsid w:val="001E4793"/>
    <w:rsid w:val="001E7433"/>
    <w:rsid w:val="001F08E8"/>
    <w:rsid w:val="001F09B6"/>
    <w:rsid w:val="001F132B"/>
    <w:rsid w:val="001F1407"/>
    <w:rsid w:val="001F19F9"/>
    <w:rsid w:val="001F281D"/>
    <w:rsid w:val="001F2DEB"/>
    <w:rsid w:val="001F3C47"/>
    <w:rsid w:val="001F4A8A"/>
    <w:rsid w:val="001F4CBC"/>
    <w:rsid w:val="001F506B"/>
    <w:rsid w:val="001F5653"/>
    <w:rsid w:val="001F5784"/>
    <w:rsid w:val="001F5EF2"/>
    <w:rsid w:val="001F6AC9"/>
    <w:rsid w:val="001F6D36"/>
    <w:rsid w:val="001F7C57"/>
    <w:rsid w:val="002020A0"/>
    <w:rsid w:val="002024A1"/>
    <w:rsid w:val="00202F6C"/>
    <w:rsid w:val="00203C6F"/>
    <w:rsid w:val="0020461A"/>
    <w:rsid w:val="0020489A"/>
    <w:rsid w:val="00204D21"/>
    <w:rsid w:val="00205CF0"/>
    <w:rsid w:val="00205E4F"/>
    <w:rsid w:val="0020626E"/>
    <w:rsid w:val="0020647D"/>
    <w:rsid w:val="00210840"/>
    <w:rsid w:val="00210D0B"/>
    <w:rsid w:val="00211D76"/>
    <w:rsid w:val="002120CB"/>
    <w:rsid w:val="0021238E"/>
    <w:rsid w:val="00215501"/>
    <w:rsid w:val="00216CDA"/>
    <w:rsid w:val="00217042"/>
    <w:rsid w:val="0021773D"/>
    <w:rsid w:val="00217951"/>
    <w:rsid w:val="00221A7A"/>
    <w:rsid w:val="00222260"/>
    <w:rsid w:val="00224778"/>
    <w:rsid w:val="0022487D"/>
    <w:rsid w:val="00224A7A"/>
    <w:rsid w:val="00224DCC"/>
    <w:rsid w:val="00226E7D"/>
    <w:rsid w:val="00227417"/>
    <w:rsid w:val="0022754D"/>
    <w:rsid w:val="00230390"/>
    <w:rsid w:val="00230C4D"/>
    <w:rsid w:val="002314EC"/>
    <w:rsid w:val="00233406"/>
    <w:rsid w:val="00234049"/>
    <w:rsid w:val="00234731"/>
    <w:rsid w:val="002361B3"/>
    <w:rsid w:val="00237D6E"/>
    <w:rsid w:val="00237FD6"/>
    <w:rsid w:val="002401C5"/>
    <w:rsid w:val="00240580"/>
    <w:rsid w:val="00240D36"/>
    <w:rsid w:val="00241EF0"/>
    <w:rsid w:val="00242196"/>
    <w:rsid w:val="002422F1"/>
    <w:rsid w:val="002431DF"/>
    <w:rsid w:val="00243750"/>
    <w:rsid w:val="0024407A"/>
    <w:rsid w:val="00245755"/>
    <w:rsid w:val="00246761"/>
    <w:rsid w:val="00251492"/>
    <w:rsid w:val="00251E61"/>
    <w:rsid w:val="00251E95"/>
    <w:rsid w:val="00252626"/>
    <w:rsid w:val="00254064"/>
    <w:rsid w:val="00254E43"/>
    <w:rsid w:val="002569BF"/>
    <w:rsid w:val="00257990"/>
    <w:rsid w:val="00261B0C"/>
    <w:rsid w:val="00261BEA"/>
    <w:rsid w:val="00262B1F"/>
    <w:rsid w:val="0026410C"/>
    <w:rsid w:val="002642BA"/>
    <w:rsid w:val="00265120"/>
    <w:rsid w:val="00265149"/>
    <w:rsid w:val="00265B5D"/>
    <w:rsid w:val="002663A3"/>
    <w:rsid w:val="0026754B"/>
    <w:rsid w:val="00267F5E"/>
    <w:rsid w:val="00270635"/>
    <w:rsid w:val="00270675"/>
    <w:rsid w:val="00270DAB"/>
    <w:rsid w:val="00271D09"/>
    <w:rsid w:val="002737FF"/>
    <w:rsid w:val="00275411"/>
    <w:rsid w:val="00276332"/>
    <w:rsid w:val="00276EC4"/>
    <w:rsid w:val="0028037A"/>
    <w:rsid w:val="002806A9"/>
    <w:rsid w:val="002818B2"/>
    <w:rsid w:val="0028229B"/>
    <w:rsid w:val="0028315F"/>
    <w:rsid w:val="00283633"/>
    <w:rsid w:val="00283A75"/>
    <w:rsid w:val="002840B1"/>
    <w:rsid w:val="002844F0"/>
    <w:rsid w:val="00284ABA"/>
    <w:rsid w:val="00286828"/>
    <w:rsid w:val="0028740D"/>
    <w:rsid w:val="00290288"/>
    <w:rsid w:val="00290ED9"/>
    <w:rsid w:val="0029359E"/>
    <w:rsid w:val="002939B9"/>
    <w:rsid w:val="0029489C"/>
    <w:rsid w:val="00294BD5"/>
    <w:rsid w:val="00295708"/>
    <w:rsid w:val="00295928"/>
    <w:rsid w:val="002A04FA"/>
    <w:rsid w:val="002A05D7"/>
    <w:rsid w:val="002A0828"/>
    <w:rsid w:val="002A0B91"/>
    <w:rsid w:val="002A0C32"/>
    <w:rsid w:val="002A0DB3"/>
    <w:rsid w:val="002A1807"/>
    <w:rsid w:val="002A28E8"/>
    <w:rsid w:val="002A28F0"/>
    <w:rsid w:val="002A35B4"/>
    <w:rsid w:val="002A411F"/>
    <w:rsid w:val="002A4156"/>
    <w:rsid w:val="002A4611"/>
    <w:rsid w:val="002A5159"/>
    <w:rsid w:val="002A6919"/>
    <w:rsid w:val="002A69F6"/>
    <w:rsid w:val="002A7086"/>
    <w:rsid w:val="002A7177"/>
    <w:rsid w:val="002A7DF5"/>
    <w:rsid w:val="002B1CDC"/>
    <w:rsid w:val="002B24B9"/>
    <w:rsid w:val="002B38F7"/>
    <w:rsid w:val="002B4097"/>
    <w:rsid w:val="002B492C"/>
    <w:rsid w:val="002B4A20"/>
    <w:rsid w:val="002B4D6A"/>
    <w:rsid w:val="002B536E"/>
    <w:rsid w:val="002B6B0E"/>
    <w:rsid w:val="002B71F8"/>
    <w:rsid w:val="002C1764"/>
    <w:rsid w:val="002C20B1"/>
    <w:rsid w:val="002C2C27"/>
    <w:rsid w:val="002C3106"/>
    <w:rsid w:val="002C3724"/>
    <w:rsid w:val="002C3D69"/>
    <w:rsid w:val="002C44A1"/>
    <w:rsid w:val="002C4A5E"/>
    <w:rsid w:val="002C68DD"/>
    <w:rsid w:val="002C7082"/>
    <w:rsid w:val="002C70A4"/>
    <w:rsid w:val="002D1427"/>
    <w:rsid w:val="002D1D8A"/>
    <w:rsid w:val="002D2F24"/>
    <w:rsid w:val="002D34CA"/>
    <w:rsid w:val="002D4063"/>
    <w:rsid w:val="002D516B"/>
    <w:rsid w:val="002D5262"/>
    <w:rsid w:val="002D5DD0"/>
    <w:rsid w:val="002D70B3"/>
    <w:rsid w:val="002D7AE1"/>
    <w:rsid w:val="002E0B5A"/>
    <w:rsid w:val="002E169E"/>
    <w:rsid w:val="002E1A78"/>
    <w:rsid w:val="002E1CFB"/>
    <w:rsid w:val="002E2188"/>
    <w:rsid w:val="002E2473"/>
    <w:rsid w:val="002E2836"/>
    <w:rsid w:val="002E3417"/>
    <w:rsid w:val="002E4039"/>
    <w:rsid w:val="002E5802"/>
    <w:rsid w:val="002E5A7A"/>
    <w:rsid w:val="002E63F5"/>
    <w:rsid w:val="002E66D7"/>
    <w:rsid w:val="002E6D9B"/>
    <w:rsid w:val="002E7ADD"/>
    <w:rsid w:val="002F0C46"/>
    <w:rsid w:val="002F0E77"/>
    <w:rsid w:val="002F11AD"/>
    <w:rsid w:val="002F14A8"/>
    <w:rsid w:val="002F1F47"/>
    <w:rsid w:val="002F2D48"/>
    <w:rsid w:val="002F31AC"/>
    <w:rsid w:val="002F3839"/>
    <w:rsid w:val="002F4F29"/>
    <w:rsid w:val="002F5038"/>
    <w:rsid w:val="002F531B"/>
    <w:rsid w:val="00300149"/>
    <w:rsid w:val="00300556"/>
    <w:rsid w:val="0030057A"/>
    <w:rsid w:val="0030092F"/>
    <w:rsid w:val="003009C4"/>
    <w:rsid w:val="00301D94"/>
    <w:rsid w:val="00302678"/>
    <w:rsid w:val="003034CF"/>
    <w:rsid w:val="00303F22"/>
    <w:rsid w:val="003066AF"/>
    <w:rsid w:val="00306E01"/>
    <w:rsid w:val="0031021E"/>
    <w:rsid w:val="00310A75"/>
    <w:rsid w:val="00310CBD"/>
    <w:rsid w:val="003116DA"/>
    <w:rsid w:val="00312FAB"/>
    <w:rsid w:val="003130EB"/>
    <w:rsid w:val="003156C3"/>
    <w:rsid w:val="0032101B"/>
    <w:rsid w:val="00321A00"/>
    <w:rsid w:val="00321A23"/>
    <w:rsid w:val="00322C2F"/>
    <w:rsid w:val="00323121"/>
    <w:rsid w:val="00323B38"/>
    <w:rsid w:val="00325A34"/>
    <w:rsid w:val="00327D74"/>
    <w:rsid w:val="00327EE1"/>
    <w:rsid w:val="00330105"/>
    <w:rsid w:val="00330A47"/>
    <w:rsid w:val="00330BF3"/>
    <w:rsid w:val="0033139D"/>
    <w:rsid w:val="00331950"/>
    <w:rsid w:val="00332647"/>
    <w:rsid w:val="00336D85"/>
    <w:rsid w:val="00337AAF"/>
    <w:rsid w:val="00342256"/>
    <w:rsid w:val="00343A81"/>
    <w:rsid w:val="0034458E"/>
    <w:rsid w:val="0034610F"/>
    <w:rsid w:val="00346679"/>
    <w:rsid w:val="0034735E"/>
    <w:rsid w:val="0035000B"/>
    <w:rsid w:val="00350014"/>
    <w:rsid w:val="003518D2"/>
    <w:rsid w:val="00354700"/>
    <w:rsid w:val="00354859"/>
    <w:rsid w:val="00354F9E"/>
    <w:rsid w:val="00354FA9"/>
    <w:rsid w:val="003554C9"/>
    <w:rsid w:val="00355E60"/>
    <w:rsid w:val="00356784"/>
    <w:rsid w:val="003567D6"/>
    <w:rsid w:val="00356965"/>
    <w:rsid w:val="00357309"/>
    <w:rsid w:val="00357396"/>
    <w:rsid w:val="00357568"/>
    <w:rsid w:val="00357C07"/>
    <w:rsid w:val="00360DF1"/>
    <w:rsid w:val="00361A70"/>
    <w:rsid w:val="00361C91"/>
    <w:rsid w:val="00362743"/>
    <w:rsid w:val="00362A49"/>
    <w:rsid w:val="0036562A"/>
    <w:rsid w:val="00365825"/>
    <w:rsid w:val="0036753A"/>
    <w:rsid w:val="00367F2F"/>
    <w:rsid w:val="00370A6C"/>
    <w:rsid w:val="003727D1"/>
    <w:rsid w:val="00373690"/>
    <w:rsid w:val="00374580"/>
    <w:rsid w:val="00374C96"/>
    <w:rsid w:val="00375929"/>
    <w:rsid w:val="003762B9"/>
    <w:rsid w:val="00377377"/>
    <w:rsid w:val="0037765C"/>
    <w:rsid w:val="00380220"/>
    <w:rsid w:val="003806D1"/>
    <w:rsid w:val="0038125B"/>
    <w:rsid w:val="00382113"/>
    <w:rsid w:val="00382E64"/>
    <w:rsid w:val="0038304D"/>
    <w:rsid w:val="0038321A"/>
    <w:rsid w:val="00383D06"/>
    <w:rsid w:val="00385221"/>
    <w:rsid w:val="0038536D"/>
    <w:rsid w:val="0038776B"/>
    <w:rsid w:val="00387866"/>
    <w:rsid w:val="00391245"/>
    <w:rsid w:val="00391295"/>
    <w:rsid w:val="00391C0E"/>
    <w:rsid w:val="00391EE9"/>
    <w:rsid w:val="00392AEB"/>
    <w:rsid w:val="00392CFF"/>
    <w:rsid w:val="00394B3F"/>
    <w:rsid w:val="003953DA"/>
    <w:rsid w:val="003954AB"/>
    <w:rsid w:val="00395586"/>
    <w:rsid w:val="00395B16"/>
    <w:rsid w:val="00396349"/>
    <w:rsid w:val="00397C5A"/>
    <w:rsid w:val="003A1D85"/>
    <w:rsid w:val="003A2A66"/>
    <w:rsid w:val="003A325B"/>
    <w:rsid w:val="003A4D0C"/>
    <w:rsid w:val="003A56AE"/>
    <w:rsid w:val="003A5D2D"/>
    <w:rsid w:val="003A6A3A"/>
    <w:rsid w:val="003A6F47"/>
    <w:rsid w:val="003B0475"/>
    <w:rsid w:val="003B0B61"/>
    <w:rsid w:val="003B0E5E"/>
    <w:rsid w:val="003B10AE"/>
    <w:rsid w:val="003B1378"/>
    <w:rsid w:val="003B232E"/>
    <w:rsid w:val="003B32A1"/>
    <w:rsid w:val="003B4DA6"/>
    <w:rsid w:val="003B6A06"/>
    <w:rsid w:val="003B6D35"/>
    <w:rsid w:val="003B7673"/>
    <w:rsid w:val="003B7F1E"/>
    <w:rsid w:val="003C0275"/>
    <w:rsid w:val="003C2541"/>
    <w:rsid w:val="003C28D3"/>
    <w:rsid w:val="003C2EAE"/>
    <w:rsid w:val="003C465E"/>
    <w:rsid w:val="003C58A0"/>
    <w:rsid w:val="003C62BC"/>
    <w:rsid w:val="003C65D2"/>
    <w:rsid w:val="003C6C2E"/>
    <w:rsid w:val="003C7FA3"/>
    <w:rsid w:val="003D03F4"/>
    <w:rsid w:val="003D3824"/>
    <w:rsid w:val="003D3CA7"/>
    <w:rsid w:val="003D4283"/>
    <w:rsid w:val="003D5310"/>
    <w:rsid w:val="003D5EB0"/>
    <w:rsid w:val="003D6DEE"/>
    <w:rsid w:val="003D7332"/>
    <w:rsid w:val="003D7988"/>
    <w:rsid w:val="003E0359"/>
    <w:rsid w:val="003E08CE"/>
    <w:rsid w:val="003E0E90"/>
    <w:rsid w:val="003E2E4E"/>
    <w:rsid w:val="003E471B"/>
    <w:rsid w:val="003E621D"/>
    <w:rsid w:val="003E78FA"/>
    <w:rsid w:val="003E7BF4"/>
    <w:rsid w:val="003F0237"/>
    <w:rsid w:val="003F1FCE"/>
    <w:rsid w:val="003F4297"/>
    <w:rsid w:val="003F5AAF"/>
    <w:rsid w:val="003F5DF5"/>
    <w:rsid w:val="003F5EFC"/>
    <w:rsid w:val="003F696D"/>
    <w:rsid w:val="00400033"/>
    <w:rsid w:val="0040055E"/>
    <w:rsid w:val="0040203F"/>
    <w:rsid w:val="00402B62"/>
    <w:rsid w:val="004032CC"/>
    <w:rsid w:val="00403FD4"/>
    <w:rsid w:val="00404346"/>
    <w:rsid w:val="004043A7"/>
    <w:rsid w:val="00405850"/>
    <w:rsid w:val="004076EE"/>
    <w:rsid w:val="00410CD1"/>
    <w:rsid w:val="004113E4"/>
    <w:rsid w:val="00411782"/>
    <w:rsid w:val="00412556"/>
    <w:rsid w:val="00413FBE"/>
    <w:rsid w:val="004140D9"/>
    <w:rsid w:val="00414364"/>
    <w:rsid w:val="004143A9"/>
    <w:rsid w:val="00414A91"/>
    <w:rsid w:val="0041672E"/>
    <w:rsid w:val="0042182B"/>
    <w:rsid w:val="00422A15"/>
    <w:rsid w:val="0042343A"/>
    <w:rsid w:val="00424C67"/>
    <w:rsid w:val="00426B23"/>
    <w:rsid w:val="004278E0"/>
    <w:rsid w:val="00430780"/>
    <w:rsid w:val="004312B2"/>
    <w:rsid w:val="0043183C"/>
    <w:rsid w:val="00432820"/>
    <w:rsid w:val="00432EF7"/>
    <w:rsid w:val="004346B2"/>
    <w:rsid w:val="00434CFF"/>
    <w:rsid w:val="00435E0C"/>
    <w:rsid w:val="0044093E"/>
    <w:rsid w:val="004417E9"/>
    <w:rsid w:val="004418F3"/>
    <w:rsid w:val="00441DDE"/>
    <w:rsid w:val="00441FF1"/>
    <w:rsid w:val="0044308F"/>
    <w:rsid w:val="00443E39"/>
    <w:rsid w:val="004443C2"/>
    <w:rsid w:val="00446302"/>
    <w:rsid w:val="0044737C"/>
    <w:rsid w:val="004500AB"/>
    <w:rsid w:val="004505CE"/>
    <w:rsid w:val="00450AA3"/>
    <w:rsid w:val="00450D5C"/>
    <w:rsid w:val="00453F52"/>
    <w:rsid w:val="00454C20"/>
    <w:rsid w:val="00455947"/>
    <w:rsid w:val="00456B06"/>
    <w:rsid w:val="00457AAB"/>
    <w:rsid w:val="00457F81"/>
    <w:rsid w:val="004612EA"/>
    <w:rsid w:val="004618AD"/>
    <w:rsid w:val="004623A2"/>
    <w:rsid w:val="00462831"/>
    <w:rsid w:val="00462BD1"/>
    <w:rsid w:val="00462FB0"/>
    <w:rsid w:val="00463470"/>
    <w:rsid w:val="00463DDC"/>
    <w:rsid w:val="00464789"/>
    <w:rsid w:val="00464E83"/>
    <w:rsid w:val="00466021"/>
    <w:rsid w:val="0046669E"/>
    <w:rsid w:val="00466C4D"/>
    <w:rsid w:val="0046711A"/>
    <w:rsid w:val="00467E3E"/>
    <w:rsid w:val="00470004"/>
    <w:rsid w:val="00470776"/>
    <w:rsid w:val="004732A3"/>
    <w:rsid w:val="00475BC3"/>
    <w:rsid w:val="00475D52"/>
    <w:rsid w:val="004765FF"/>
    <w:rsid w:val="00480211"/>
    <w:rsid w:val="00481392"/>
    <w:rsid w:val="00481AF4"/>
    <w:rsid w:val="00482E1D"/>
    <w:rsid w:val="00483D4F"/>
    <w:rsid w:val="00484525"/>
    <w:rsid w:val="004854E3"/>
    <w:rsid w:val="004856D4"/>
    <w:rsid w:val="0048696C"/>
    <w:rsid w:val="00486D9D"/>
    <w:rsid w:val="004872B5"/>
    <w:rsid w:val="00490048"/>
    <w:rsid w:val="004907F2"/>
    <w:rsid w:val="004908E1"/>
    <w:rsid w:val="00490938"/>
    <w:rsid w:val="00490CAB"/>
    <w:rsid w:val="00490F58"/>
    <w:rsid w:val="0049319D"/>
    <w:rsid w:val="00493360"/>
    <w:rsid w:val="004936D5"/>
    <w:rsid w:val="00493A68"/>
    <w:rsid w:val="00493CD4"/>
    <w:rsid w:val="00495060"/>
    <w:rsid w:val="00495943"/>
    <w:rsid w:val="00496DE6"/>
    <w:rsid w:val="00497371"/>
    <w:rsid w:val="004A04DD"/>
    <w:rsid w:val="004A1938"/>
    <w:rsid w:val="004A28E4"/>
    <w:rsid w:val="004A2C4C"/>
    <w:rsid w:val="004A3AF6"/>
    <w:rsid w:val="004A3D3E"/>
    <w:rsid w:val="004A41EC"/>
    <w:rsid w:val="004A48EC"/>
    <w:rsid w:val="004A4CC5"/>
    <w:rsid w:val="004A7B42"/>
    <w:rsid w:val="004A7E96"/>
    <w:rsid w:val="004B0D66"/>
    <w:rsid w:val="004B1220"/>
    <w:rsid w:val="004B172A"/>
    <w:rsid w:val="004B1BCA"/>
    <w:rsid w:val="004B27E8"/>
    <w:rsid w:val="004B28EB"/>
    <w:rsid w:val="004B309F"/>
    <w:rsid w:val="004B583A"/>
    <w:rsid w:val="004B7A33"/>
    <w:rsid w:val="004C0691"/>
    <w:rsid w:val="004C08B2"/>
    <w:rsid w:val="004C09FE"/>
    <w:rsid w:val="004C0BBB"/>
    <w:rsid w:val="004C0C3F"/>
    <w:rsid w:val="004C1ACD"/>
    <w:rsid w:val="004C232C"/>
    <w:rsid w:val="004C2C33"/>
    <w:rsid w:val="004C2DF6"/>
    <w:rsid w:val="004C327F"/>
    <w:rsid w:val="004C394B"/>
    <w:rsid w:val="004C4087"/>
    <w:rsid w:val="004C5B52"/>
    <w:rsid w:val="004C5C9C"/>
    <w:rsid w:val="004C67B7"/>
    <w:rsid w:val="004D0EF7"/>
    <w:rsid w:val="004D1C10"/>
    <w:rsid w:val="004D21D8"/>
    <w:rsid w:val="004D2408"/>
    <w:rsid w:val="004D2928"/>
    <w:rsid w:val="004D36A8"/>
    <w:rsid w:val="004D44EF"/>
    <w:rsid w:val="004D5202"/>
    <w:rsid w:val="004D705F"/>
    <w:rsid w:val="004D777B"/>
    <w:rsid w:val="004D7807"/>
    <w:rsid w:val="004D7B4A"/>
    <w:rsid w:val="004E101D"/>
    <w:rsid w:val="004E2C07"/>
    <w:rsid w:val="004E2DF8"/>
    <w:rsid w:val="004E2E3E"/>
    <w:rsid w:val="004E40EA"/>
    <w:rsid w:val="004E5A24"/>
    <w:rsid w:val="004E5A29"/>
    <w:rsid w:val="004E71BE"/>
    <w:rsid w:val="004F1560"/>
    <w:rsid w:val="004F1AB9"/>
    <w:rsid w:val="004F24C0"/>
    <w:rsid w:val="004F302A"/>
    <w:rsid w:val="004F3133"/>
    <w:rsid w:val="004F32A9"/>
    <w:rsid w:val="004F3312"/>
    <w:rsid w:val="004F3659"/>
    <w:rsid w:val="004F6210"/>
    <w:rsid w:val="004F76B2"/>
    <w:rsid w:val="004F79EC"/>
    <w:rsid w:val="00500984"/>
    <w:rsid w:val="0050118E"/>
    <w:rsid w:val="00501942"/>
    <w:rsid w:val="00502510"/>
    <w:rsid w:val="00502859"/>
    <w:rsid w:val="00502F82"/>
    <w:rsid w:val="005037AE"/>
    <w:rsid w:val="00504990"/>
    <w:rsid w:val="0050550B"/>
    <w:rsid w:val="00505907"/>
    <w:rsid w:val="005069B9"/>
    <w:rsid w:val="00506A30"/>
    <w:rsid w:val="00510E36"/>
    <w:rsid w:val="0051139C"/>
    <w:rsid w:val="00513463"/>
    <w:rsid w:val="005134ED"/>
    <w:rsid w:val="0051556E"/>
    <w:rsid w:val="00521659"/>
    <w:rsid w:val="005234F0"/>
    <w:rsid w:val="00523B57"/>
    <w:rsid w:val="005243FB"/>
    <w:rsid w:val="00524BC4"/>
    <w:rsid w:val="0052507A"/>
    <w:rsid w:val="0052638D"/>
    <w:rsid w:val="00526F9E"/>
    <w:rsid w:val="00527B60"/>
    <w:rsid w:val="005309E6"/>
    <w:rsid w:val="005314D3"/>
    <w:rsid w:val="00531EA5"/>
    <w:rsid w:val="00532575"/>
    <w:rsid w:val="00532666"/>
    <w:rsid w:val="00532AE3"/>
    <w:rsid w:val="00533432"/>
    <w:rsid w:val="00533ABA"/>
    <w:rsid w:val="00533F36"/>
    <w:rsid w:val="0053475B"/>
    <w:rsid w:val="00535859"/>
    <w:rsid w:val="005359C6"/>
    <w:rsid w:val="00540559"/>
    <w:rsid w:val="00540CB6"/>
    <w:rsid w:val="005446AA"/>
    <w:rsid w:val="00544B8E"/>
    <w:rsid w:val="00545BAD"/>
    <w:rsid w:val="005460A4"/>
    <w:rsid w:val="005470B5"/>
    <w:rsid w:val="0055008C"/>
    <w:rsid w:val="00550CCD"/>
    <w:rsid w:val="005522F8"/>
    <w:rsid w:val="00552A51"/>
    <w:rsid w:val="00552B79"/>
    <w:rsid w:val="00553D1D"/>
    <w:rsid w:val="00554BA6"/>
    <w:rsid w:val="00554EBA"/>
    <w:rsid w:val="0055554D"/>
    <w:rsid w:val="005566E6"/>
    <w:rsid w:val="00557064"/>
    <w:rsid w:val="005600EE"/>
    <w:rsid w:val="005617D1"/>
    <w:rsid w:val="00561BF3"/>
    <w:rsid w:val="00562CA5"/>
    <w:rsid w:val="00562DF1"/>
    <w:rsid w:val="0056394B"/>
    <w:rsid w:val="005647E5"/>
    <w:rsid w:val="00564F4A"/>
    <w:rsid w:val="00565543"/>
    <w:rsid w:val="00565B98"/>
    <w:rsid w:val="00565E94"/>
    <w:rsid w:val="0056671E"/>
    <w:rsid w:val="00566ABD"/>
    <w:rsid w:val="00570CF7"/>
    <w:rsid w:val="0057182C"/>
    <w:rsid w:val="00572478"/>
    <w:rsid w:val="005729B3"/>
    <w:rsid w:val="00574656"/>
    <w:rsid w:val="00577DD7"/>
    <w:rsid w:val="005802AB"/>
    <w:rsid w:val="005802AE"/>
    <w:rsid w:val="00581C52"/>
    <w:rsid w:val="00581D0C"/>
    <w:rsid w:val="00581E5F"/>
    <w:rsid w:val="00582085"/>
    <w:rsid w:val="00582CC7"/>
    <w:rsid w:val="005831C3"/>
    <w:rsid w:val="005833D9"/>
    <w:rsid w:val="00584D10"/>
    <w:rsid w:val="0058550F"/>
    <w:rsid w:val="00585606"/>
    <w:rsid w:val="00585CE5"/>
    <w:rsid w:val="00585F36"/>
    <w:rsid w:val="0058659B"/>
    <w:rsid w:val="0058722B"/>
    <w:rsid w:val="00592B21"/>
    <w:rsid w:val="00592D35"/>
    <w:rsid w:val="0059302E"/>
    <w:rsid w:val="00593D47"/>
    <w:rsid w:val="0059494C"/>
    <w:rsid w:val="00594D04"/>
    <w:rsid w:val="00594DE9"/>
    <w:rsid w:val="00594EAC"/>
    <w:rsid w:val="005954C7"/>
    <w:rsid w:val="00596ED4"/>
    <w:rsid w:val="00597906"/>
    <w:rsid w:val="00597C8B"/>
    <w:rsid w:val="00597F36"/>
    <w:rsid w:val="005A14DE"/>
    <w:rsid w:val="005A360F"/>
    <w:rsid w:val="005A4C54"/>
    <w:rsid w:val="005A5301"/>
    <w:rsid w:val="005A57CB"/>
    <w:rsid w:val="005A5C6B"/>
    <w:rsid w:val="005A6D09"/>
    <w:rsid w:val="005A7810"/>
    <w:rsid w:val="005B22A9"/>
    <w:rsid w:val="005B44F3"/>
    <w:rsid w:val="005B477C"/>
    <w:rsid w:val="005B5217"/>
    <w:rsid w:val="005B628F"/>
    <w:rsid w:val="005B67D7"/>
    <w:rsid w:val="005B70D7"/>
    <w:rsid w:val="005B714E"/>
    <w:rsid w:val="005C0287"/>
    <w:rsid w:val="005C09AD"/>
    <w:rsid w:val="005C11B2"/>
    <w:rsid w:val="005C128C"/>
    <w:rsid w:val="005C279D"/>
    <w:rsid w:val="005C3346"/>
    <w:rsid w:val="005C375B"/>
    <w:rsid w:val="005C4611"/>
    <w:rsid w:val="005C5284"/>
    <w:rsid w:val="005C5B40"/>
    <w:rsid w:val="005C64CC"/>
    <w:rsid w:val="005C67EB"/>
    <w:rsid w:val="005C6FA2"/>
    <w:rsid w:val="005D34EA"/>
    <w:rsid w:val="005D59B8"/>
    <w:rsid w:val="005D65EE"/>
    <w:rsid w:val="005D6C4D"/>
    <w:rsid w:val="005E2A2D"/>
    <w:rsid w:val="005E44EA"/>
    <w:rsid w:val="005E581C"/>
    <w:rsid w:val="005E61E5"/>
    <w:rsid w:val="005E662E"/>
    <w:rsid w:val="005E7EB4"/>
    <w:rsid w:val="005F2C67"/>
    <w:rsid w:val="005F34CF"/>
    <w:rsid w:val="005F3D88"/>
    <w:rsid w:val="005F5CC0"/>
    <w:rsid w:val="005F69AB"/>
    <w:rsid w:val="00600B8A"/>
    <w:rsid w:val="00601729"/>
    <w:rsid w:val="00601D2C"/>
    <w:rsid w:val="006021B4"/>
    <w:rsid w:val="00602FC8"/>
    <w:rsid w:val="006037EA"/>
    <w:rsid w:val="00603D24"/>
    <w:rsid w:val="00604952"/>
    <w:rsid w:val="00605942"/>
    <w:rsid w:val="006061FD"/>
    <w:rsid w:val="006063F6"/>
    <w:rsid w:val="0060749C"/>
    <w:rsid w:val="00607ECA"/>
    <w:rsid w:val="00610678"/>
    <w:rsid w:val="00610689"/>
    <w:rsid w:val="00611CAA"/>
    <w:rsid w:val="00612800"/>
    <w:rsid w:val="006130BD"/>
    <w:rsid w:val="0061319B"/>
    <w:rsid w:val="00614270"/>
    <w:rsid w:val="006157D1"/>
    <w:rsid w:val="0061735F"/>
    <w:rsid w:val="0062127B"/>
    <w:rsid w:val="006213A8"/>
    <w:rsid w:val="0062148F"/>
    <w:rsid w:val="00623830"/>
    <w:rsid w:val="00623D11"/>
    <w:rsid w:val="00624F20"/>
    <w:rsid w:val="006252EC"/>
    <w:rsid w:val="00626823"/>
    <w:rsid w:val="006271C4"/>
    <w:rsid w:val="00627DDD"/>
    <w:rsid w:val="00630A6E"/>
    <w:rsid w:val="00630BE9"/>
    <w:rsid w:val="006310CA"/>
    <w:rsid w:val="006312CA"/>
    <w:rsid w:val="006314D4"/>
    <w:rsid w:val="00631E3A"/>
    <w:rsid w:val="00633B1E"/>
    <w:rsid w:val="006340BF"/>
    <w:rsid w:val="0063453B"/>
    <w:rsid w:val="00634D00"/>
    <w:rsid w:val="006353BF"/>
    <w:rsid w:val="00635F93"/>
    <w:rsid w:val="00636328"/>
    <w:rsid w:val="00642B13"/>
    <w:rsid w:val="006431D4"/>
    <w:rsid w:val="0064384A"/>
    <w:rsid w:val="00644022"/>
    <w:rsid w:val="00644574"/>
    <w:rsid w:val="006453CA"/>
    <w:rsid w:val="00650609"/>
    <w:rsid w:val="006510F7"/>
    <w:rsid w:val="00651673"/>
    <w:rsid w:val="00651769"/>
    <w:rsid w:val="00651BA3"/>
    <w:rsid w:val="0065273E"/>
    <w:rsid w:val="00652CAD"/>
    <w:rsid w:val="00653B97"/>
    <w:rsid w:val="00653C85"/>
    <w:rsid w:val="0065455D"/>
    <w:rsid w:val="0065479E"/>
    <w:rsid w:val="006557A2"/>
    <w:rsid w:val="00656B54"/>
    <w:rsid w:val="006575A4"/>
    <w:rsid w:val="00657CF7"/>
    <w:rsid w:val="00657E83"/>
    <w:rsid w:val="00662570"/>
    <w:rsid w:val="0066271A"/>
    <w:rsid w:val="00662B25"/>
    <w:rsid w:val="00662DE0"/>
    <w:rsid w:val="00663213"/>
    <w:rsid w:val="00665CCC"/>
    <w:rsid w:val="00665FB6"/>
    <w:rsid w:val="00666EF1"/>
    <w:rsid w:val="00667501"/>
    <w:rsid w:val="00667F0F"/>
    <w:rsid w:val="00670384"/>
    <w:rsid w:val="00670724"/>
    <w:rsid w:val="00670D79"/>
    <w:rsid w:val="00671186"/>
    <w:rsid w:val="006713A4"/>
    <w:rsid w:val="0067234E"/>
    <w:rsid w:val="00672B58"/>
    <w:rsid w:val="006734DC"/>
    <w:rsid w:val="0067443F"/>
    <w:rsid w:val="0067666D"/>
    <w:rsid w:val="0067682B"/>
    <w:rsid w:val="006769FB"/>
    <w:rsid w:val="0068014B"/>
    <w:rsid w:val="00680DCC"/>
    <w:rsid w:val="00680F29"/>
    <w:rsid w:val="006820DF"/>
    <w:rsid w:val="00682A3B"/>
    <w:rsid w:val="006832D6"/>
    <w:rsid w:val="00683951"/>
    <w:rsid w:val="006873B8"/>
    <w:rsid w:val="006921D7"/>
    <w:rsid w:val="006937BB"/>
    <w:rsid w:val="006956F7"/>
    <w:rsid w:val="006959A4"/>
    <w:rsid w:val="00695ECD"/>
    <w:rsid w:val="00696AF5"/>
    <w:rsid w:val="006976F9"/>
    <w:rsid w:val="00697BAF"/>
    <w:rsid w:val="006A0394"/>
    <w:rsid w:val="006A0411"/>
    <w:rsid w:val="006A1A20"/>
    <w:rsid w:val="006A2C6D"/>
    <w:rsid w:val="006A34A2"/>
    <w:rsid w:val="006A4467"/>
    <w:rsid w:val="006A4B3C"/>
    <w:rsid w:val="006A50EB"/>
    <w:rsid w:val="006A56B3"/>
    <w:rsid w:val="006A57E2"/>
    <w:rsid w:val="006A6A37"/>
    <w:rsid w:val="006A715B"/>
    <w:rsid w:val="006B015A"/>
    <w:rsid w:val="006B14F3"/>
    <w:rsid w:val="006B1CE5"/>
    <w:rsid w:val="006B2475"/>
    <w:rsid w:val="006B25A6"/>
    <w:rsid w:val="006B37A0"/>
    <w:rsid w:val="006B3D1E"/>
    <w:rsid w:val="006B64B0"/>
    <w:rsid w:val="006B6726"/>
    <w:rsid w:val="006B6F1A"/>
    <w:rsid w:val="006B7724"/>
    <w:rsid w:val="006B7C2B"/>
    <w:rsid w:val="006B7FEF"/>
    <w:rsid w:val="006C1E4D"/>
    <w:rsid w:val="006C2C92"/>
    <w:rsid w:val="006C3AD3"/>
    <w:rsid w:val="006C4316"/>
    <w:rsid w:val="006C6BF6"/>
    <w:rsid w:val="006C78C5"/>
    <w:rsid w:val="006D280F"/>
    <w:rsid w:val="006D316F"/>
    <w:rsid w:val="006D357A"/>
    <w:rsid w:val="006D3FC0"/>
    <w:rsid w:val="006D4462"/>
    <w:rsid w:val="006D461E"/>
    <w:rsid w:val="006D46C0"/>
    <w:rsid w:val="006D58A4"/>
    <w:rsid w:val="006D5A0A"/>
    <w:rsid w:val="006D5AF0"/>
    <w:rsid w:val="006D6DA6"/>
    <w:rsid w:val="006D7477"/>
    <w:rsid w:val="006E02E8"/>
    <w:rsid w:val="006E07CB"/>
    <w:rsid w:val="006E1B50"/>
    <w:rsid w:val="006E1D49"/>
    <w:rsid w:val="006E27B4"/>
    <w:rsid w:val="006E2B27"/>
    <w:rsid w:val="006E3959"/>
    <w:rsid w:val="006E497F"/>
    <w:rsid w:val="006E54C6"/>
    <w:rsid w:val="006F0394"/>
    <w:rsid w:val="006F170F"/>
    <w:rsid w:val="006F1FDD"/>
    <w:rsid w:val="006F2E86"/>
    <w:rsid w:val="006F44B4"/>
    <w:rsid w:val="006F4749"/>
    <w:rsid w:val="006F5540"/>
    <w:rsid w:val="00700A02"/>
    <w:rsid w:val="00700A44"/>
    <w:rsid w:val="00701078"/>
    <w:rsid w:val="0070157B"/>
    <w:rsid w:val="0070176F"/>
    <w:rsid w:val="00701960"/>
    <w:rsid w:val="007025FD"/>
    <w:rsid w:val="0070336E"/>
    <w:rsid w:val="00703774"/>
    <w:rsid w:val="00703A0C"/>
    <w:rsid w:val="0070672F"/>
    <w:rsid w:val="00710C98"/>
    <w:rsid w:val="00714577"/>
    <w:rsid w:val="00714963"/>
    <w:rsid w:val="00716CD2"/>
    <w:rsid w:val="00717AEE"/>
    <w:rsid w:val="0072013E"/>
    <w:rsid w:val="007203A2"/>
    <w:rsid w:val="0072042E"/>
    <w:rsid w:val="007207F4"/>
    <w:rsid w:val="00720B7A"/>
    <w:rsid w:val="00720C15"/>
    <w:rsid w:val="0072100B"/>
    <w:rsid w:val="007217A9"/>
    <w:rsid w:val="0072284D"/>
    <w:rsid w:val="00722AC6"/>
    <w:rsid w:val="007238F8"/>
    <w:rsid w:val="00723D2A"/>
    <w:rsid w:val="00724008"/>
    <w:rsid w:val="00725E53"/>
    <w:rsid w:val="007278BE"/>
    <w:rsid w:val="0073014B"/>
    <w:rsid w:val="00730610"/>
    <w:rsid w:val="007325D7"/>
    <w:rsid w:val="007326B6"/>
    <w:rsid w:val="00732971"/>
    <w:rsid w:val="00735335"/>
    <w:rsid w:val="007401F7"/>
    <w:rsid w:val="0074130A"/>
    <w:rsid w:val="00741D20"/>
    <w:rsid w:val="0074221B"/>
    <w:rsid w:val="0074382A"/>
    <w:rsid w:val="00743865"/>
    <w:rsid w:val="00743F48"/>
    <w:rsid w:val="00745D09"/>
    <w:rsid w:val="00747E12"/>
    <w:rsid w:val="00751076"/>
    <w:rsid w:val="00751688"/>
    <w:rsid w:val="00753986"/>
    <w:rsid w:val="00753A0A"/>
    <w:rsid w:val="007548C3"/>
    <w:rsid w:val="007558FF"/>
    <w:rsid w:val="00755A77"/>
    <w:rsid w:val="00756940"/>
    <w:rsid w:val="00756FA7"/>
    <w:rsid w:val="007573E2"/>
    <w:rsid w:val="007579CC"/>
    <w:rsid w:val="00757E9B"/>
    <w:rsid w:val="00760562"/>
    <w:rsid w:val="00760686"/>
    <w:rsid w:val="00760CC5"/>
    <w:rsid w:val="00760E86"/>
    <w:rsid w:val="0076111A"/>
    <w:rsid w:val="00761C90"/>
    <w:rsid w:val="007636D3"/>
    <w:rsid w:val="00763B54"/>
    <w:rsid w:val="0076505C"/>
    <w:rsid w:val="007658B2"/>
    <w:rsid w:val="007668F3"/>
    <w:rsid w:val="0077052C"/>
    <w:rsid w:val="0077082E"/>
    <w:rsid w:val="00771F0F"/>
    <w:rsid w:val="00772D3E"/>
    <w:rsid w:val="00774034"/>
    <w:rsid w:val="007751CF"/>
    <w:rsid w:val="007769DA"/>
    <w:rsid w:val="00776D1A"/>
    <w:rsid w:val="00780A7E"/>
    <w:rsid w:val="00781765"/>
    <w:rsid w:val="00783AD0"/>
    <w:rsid w:val="00783CD0"/>
    <w:rsid w:val="00784C7D"/>
    <w:rsid w:val="00785072"/>
    <w:rsid w:val="00785D3D"/>
    <w:rsid w:val="00786005"/>
    <w:rsid w:val="00786110"/>
    <w:rsid w:val="00786EFD"/>
    <w:rsid w:val="00787129"/>
    <w:rsid w:val="007871F4"/>
    <w:rsid w:val="007928DB"/>
    <w:rsid w:val="00793148"/>
    <w:rsid w:val="007936B0"/>
    <w:rsid w:val="00793965"/>
    <w:rsid w:val="00793B73"/>
    <w:rsid w:val="00793C7E"/>
    <w:rsid w:val="00795CBB"/>
    <w:rsid w:val="007960BD"/>
    <w:rsid w:val="007962BE"/>
    <w:rsid w:val="0079649E"/>
    <w:rsid w:val="007975F4"/>
    <w:rsid w:val="007A003D"/>
    <w:rsid w:val="007A2C0F"/>
    <w:rsid w:val="007A3D09"/>
    <w:rsid w:val="007A4CC1"/>
    <w:rsid w:val="007A5FEF"/>
    <w:rsid w:val="007A61F2"/>
    <w:rsid w:val="007A7083"/>
    <w:rsid w:val="007A792E"/>
    <w:rsid w:val="007A7B8C"/>
    <w:rsid w:val="007A7F7C"/>
    <w:rsid w:val="007B0E40"/>
    <w:rsid w:val="007B0E6F"/>
    <w:rsid w:val="007B2994"/>
    <w:rsid w:val="007B328C"/>
    <w:rsid w:val="007B4876"/>
    <w:rsid w:val="007B5D1C"/>
    <w:rsid w:val="007C074A"/>
    <w:rsid w:val="007C0796"/>
    <w:rsid w:val="007C0A8F"/>
    <w:rsid w:val="007C0CC2"/>
    <w:rsid w:val="007C2167"/>
    <w:rsid w:val="007C46ED"/>
    <w:rsid w:val="007C667F"/>
    <w:rsid w:val="007C6B13"/>
    <w:rsid w:val="007C6D99"/>
    <w:rsid w:val="007C6E49"/>
    <w:rsid w:val="007D032B"/>
    <w:rsid w:val="007D2868"/>
    <w:rsid w:val="007D330B"/>
    <w:rsid w:val="007D36C5"/>
    <w:rsid w:val="007D37D1"/>
    <w:rsid w:val="007D37ED"/>
    <w:rsid w:val="007D37FE"/>
    <w:rsid w:val="007D4F57"/>
    <w:rsid w:val="007D4F93"/>
    <w:rsid w:val="007D5B0C"/>
    <w:rsid w:val="007D610A"/>
    <w:rsid w:val="007D64D7"/>
    <w:rsid w:val="007D65FA"/>
    <w:rsid w:val="007E01F7"/>
    <w:rsid w:val="007E0CCC"/>
    <w:rsid w:val="007E2123"/>
    <w:rsid w:val="007E3F79"/>
    <w:rsid w:val="007E4D8E"/>
    <w:rsid w:val="007E5423"/>
    <w:rsid w:val="007E5A6A"/>
    <w:rsid w:val="007E63A4"/>
    <w:rsid w:val="007E712C"/>
    <w:rsid w:val="007F0248"/>
    <w:rsid w:val="007F03F9"/>
    <w:rsid w:val="007F0589"/>
    <w:rsid w:val="007F2B8E"/>
    <w:rsid w:val="007F3706"/>
    <w:rsid w:val="007F458D"/>
    <w:rsid w:val="007F65E8"/>
    <w:rsid w:val="007F7210"/>
    <w:rsid w:val="007F7F49"/>
    <w:rsid w:val="008013D4"/>
    <w:rsid w:val="00802188"/>
    <w:rsid w:val="00802A15"/>
    <w:rsid w:val="0080348D"/>
    <w:rsid w:val="0080397D"/>
    <w:rsid w:val="00803E51"/>
    <w:rsid w:val="00804114"/>
    <w:rsid w:val="008043CB"/>
    <w:rsid w:val="00805921"/>
    <w:rsid w:val="0080627C"/>
    <w:rsid w:val="00806DBA"/>
    <w:rsid w:val="008078A5"/>
    <w:rsid w:val="00807F11"/>
    <w:rsid w:val="00810DCC"/>
    <w:rsid w:val="008128A6"/>
    <w:rsid w:val="00813510"/>
    <w:rsid w:val="008156C8"/>
    <w:rsid w:val="00815762"/>
    <w:rsid w:val="008177EC"/>
    <w:rsid w:val="00821B87"/>
    <w:rsid w:val="00822E06"/>
    <w:rsid w:val="008239BB"/>
    <w:rsid w:val="008250FA"/>
    <w:rsid w:val="008259C3"/>
    <w:rsid w:val="00826122"/>
    <w:rsid w:val="0082626D"/>
    <w:rsid w:val="00826FB5"/>
    <w:rsid w:val="0082740F"/>
    <w:rsid w:val="008308D4"/>
    <w:rsid w:val="00832474"/>
    <w:rsid w:val="00833BE4"/>
    <w:rsid w:val="00833CBF"/>
    <w:rsid w:val="008344BA"/>
    <w:rsid w:val="00835812"/>
    <w:rsid w:val="0083630D"/>
    <w:rsid w:val="00836C95"/>
    <w:rsid w:val="00836F62"/>
    <w:rsid w:val="00837A20"/>
    <w:rsid w:val="008402A3"/>
    <w:rsid w:val="008402CE"/>
    <w:rsid w:val="00840B1E"/>
    <w:rsid w:val="00840EE8"/>
    <w:rsid w:val="0084149B"/>
    <w:rsid w:val="00842008"/>
    <w:rsid w:val="008433D1"/>
    <w:rsid w:val="00843897"/>
    <w:rsid w:val="008439A3"/>
    <w:rsid w:val="00843D49"/>
    <w:rsid w:val="0084506D"/>
    <w:rsid w:val="00847F5E"/>
    <w:rsid w:val="00850100"/>
    <w:rsid w:val="00852937"/>
    <w:rsid w:val="00852D30"/>
    <w:rsid w:val="00853B74"/>
    <w:rsid w:val="00854489"/>
    <w:rsid w:val="00860517"/>
    <w:rsid w:val="00860534"/>
    <w:rsid w:val="00860B5E"/>
    <w:rsid w:val="008611C0"/>
    <w:rsid w:val="008614AB"/>
    <w:rsid w:val="008621C6"/>
    <w:rsid w:val="0086430F"/>
    <w:rsid w:val="008646C5"/>
    <w:rsid w:val="0086566D"/>
    <w:rsid w:val="0086670A"/>
    <w:rsid w:val="00870160"/>
    <w:rsid w:val="0087069D"/>
    <w:rsid w:val="00872467"/>
    <w:rsid w:val="00873668"/>
    <w:rsid w:val="00873846"/>
    <w:rsid w:val="00875D34"/>
    <w:rsid w:val="00880AAA"/>
    <w:rsid w:val="00882ED6"/>
    <w:rsid w:val="00883861"/>
    <w:rsid w:val="00883A6C"/>
    <w:rsid w:val="00884539"/>
    <w:rsid w:val="00885886"/>
    <w:rsid w:val="008858A5"/>
    <w:rsid w:val="008874C4"/>
    <w:rsid w:val="00890E0F"/>
    <w:rsid w:val="0089111A"/>
    <w:rsid w:val="00891E38"/>
    <w:rsid w:val="00892197"/>
    <w:rsid w:val="00892F10"/>
    <w:rsid w:val="00893E73"/>
    <w:rsid w:val="00894337"/>
    <w:rsid w:val="008957BA"/>
    <w:rsid w:val="00895A63"/>
    <w:rsid w:val="00896DA1"/>
    <w:rsid w:val="008A1C3D"/>
    <w:rsid w:val="008A1CD9"/>
    <w:rsid w:val="008A24DF"/>
    <w:rsid w:val="008A29BA"/>
    <w:rsid w:val="008A380F"/>
    <w:rsid w:val="008A40C7"/>
    <w:rsid w:val="008A4110"/>
    <w:rsid w:val="008A4DE2"/>
    <w:rsid w:val="008A6F19"/>
    <w:rsid w:val="008B009E"/>
    <w:rsid w:val="008B01B2"/>
    <w:rsid w:val="008B0618"/>
    <w:rsid w:val="008B1D5E"/>
    <w:rsid w:val="008B203F"/>
    <w:rsid w:val="008B22D9"/>
    <w:rsid w:val="008B3410"/>
    <w:rsid w:val="008B37E6"/>
    <w:rsid w:val="008B3820"/>
    <w:rsid w:val="008B43BD"/>
    <w:rsid w:val="008B5F44"/>
    <w:rsid w:val="008B68F0"/>
    <w:rsid w:val="008B711A"/>
    <w:rsid w:val="008B7C50"/>
    <w:rsid w:val="008C00B9"/>
    <w:rsid w:val="008C0C87"/>
    <w:rsid w:val="008C2C5A"/>
    <w:rsid w:val="008C4129"/>
    <w:rsid w:val="008C5C70"/>
    <w:rsid w:val="008C6C06"/>
    <w:rsid w:val="008C7157"/>
    <w:rsid w:val="008D01B7"/>
    <w:rsid w:val="008D0DAA"/>
    <w:rsid w:val="008D0EF4"/>
    <w:rsid w:val="008D2801"/>
    <w:rsid w:val="008D3F25"/>
    <w:rsid w:val="008D481D"/>
    <w:rsid w:val="008D5134"/>
    <w:rsid w:val="008D5192"/>
    <w:rsid w:val="008D6D5F"/>
    <w:rsid w:val="008D6D8F"/>
    <w:rsid w:val="008D715E"/>
    <w:rsid w:val="008D7186"/>
    <w:rsid w:val="008D7C9C"/>
    <w:rsid w:val="008E0386"/>
    <w:rsid w:val="008E3290"/>
    <w:rsid w:val="008E374C"/>
    <w:rsid w:val="008E3DDF"/>
    <w:rsid w:val="008E3ED9"/>
    <w:rsid w:val="008E3F77"/>
    <w:rsid w:val="008E4B5C"/>
    <w:rsid w:val="008E4E8E"/>
    <w:rsid w:val="008E59AA"/>
    <w:rsid w:val="008E6724"/>
    <w:rsid w:val="008E692E"/>
    <w:rsid w:val="008E69E4"/>
    <w:rsid w:val="008F0EF4"/>
    <w:rsid w:val="008F142F"/>
    <w:rsid w:val="008F1CE7"/>
    <w:rsid w:val="008F285F"/>
    <w:rsid w:val="008F2B6B"/>
    <w:rsid w:val="008F4B31"/>
    <w:rsid w:val="008F5CB3"/>
    <w:rsid w:val="008F6EEB"/>
    <w:rsid w:val="008F72FA"/>
    <w:rsid w:val="00901028"/>
    <w:rsid w:val="00901304"/>
    <w:rsid w:val="00901663"/>
    <w:rsid w:val="00902666"/>
    <w:rsid w:val="009028F5"/>
    <w:rsid w:val="0090554B"/>
    <w:rsid w:val="00905C06"/>
    <w:rsid w:val="00912D32"/>
    <w:rsid w:val="00913A54"/>
    <w:rsid w:val="009169AC"/>
    <w:rsid w:val="00917C08"/>
    <w:rsid w:val="00917E2F"/>
    <w:rsid w:val="00920F61"/>
    <w:rsid w:val="00920FA4"/>
    <w:rsid w:val="0092116B"/>
    <w:rsid w:val="00922525"/>
    <w:rsid w:val="00924510"/>
    <w:rsid w:val="0092513D"/>
    <w:rsid w:val="00925B8A"/>
    <w:rsid w:val="009268F9"/>
    <w:rsid w:val="00926A00"/>
    <w:rsid w:val="0093040A"/>
    <w:rsid w:val="009318F5"/>
    <w:rsid w:val="009319C7"/>
    <w:rsid w:val="00932FFA"/>
    <w:rsid w:val="00934035"/>
    <w:rsid w:val="0093625A"/>
    <w:rsid w:val="009363D7"/>
    <w:rsid w:val="009408C3"/>
    <w:rsid w:val="009412A5"/>
    <w:rsid w:val="00941D15"/>
    <w:rsid w:val="009423A1"/>
    <w:rsid w:val="0094363D"/>
    <w:rsid w:val="00944366"/>
    <w:rsid w:val="009458BA"/>
    <w:rsid w:val="0094599A"/>
    <w:rsid w:val="00946011"/>
    <w:rsid w:val="00946738"/>
    <w:rsid w:val="00954477"/>
    <w:rsid w:val="00954598"/>
    <w:rsid w:val="00954D5F"/>
    <w:rsid w:val="00954D7B"/>
    <w:rsid w:val="00955CF7"/>
    <w:rsid w:val="009565E9"/>
    <w:rsid w:val="0095689D"/>
    <w:rsid w:val="009568BD"/>
    <w:rsid w:val="0095708F"/>
    <w:rsid w:val="00957229"/>
    <w:rsid w:val="00957DC8"/>
    <w:rsid w:val="00960AB6"/>
    <w:rsid w:val="00961612"/>
    <w:rsid w:val="00962063"/>
    <w:rsid w:val="009633F3"/>
    <w:rsid w:val="0096501E"/>
    <w:rsid w:val="009671A7"/>
    <w:rsid w:val="00967351"/>
    <w:rsid w:val="0097060D"/>
    <w:rsid w:val="00971714"/>
    <w:rsid w:val="00972842"/>
    <w:rsid w:val="009740DE"/>
    <w:rsid w:val="00974465"/>
    <w:rsid w:val="00974A43"/>
    <w:rsid w:val="00975403"/>
    <w:rsid w:val="00975564"/>
    <w:rsid w:val="00975D8B"/>
    <w:rsid w:val="00976629"/>
    <w:rsid w:val="0097798D"/>
    <w:rsid w:val="00982EC3"/>
    <w:rsid w:val="0098318B"/>
    <w:rsid w:val="00983CA8"/>
    <w:rsid w:val="00983DEE"/>
    <w:rsid w:val="009840AF"/>
    <w:rsid w:val="009863FD"/>
    <w:rsid w:val="00987DB2"/>
    <w:rsid w:val="0099038C"/>
    <w:rsid w:val="009915F8"/>
    <w:rsid w:val="00991B4C"/>
    <w:rsid w:val="00992BAA"/>
    <w:rsid w:val="00995B10"/>
    <w:rsid w:val="00996600"/>
    <w:rsid w:val="009968CD"/>
    <w:rsid w:val="00997619"/>
    <w:rsid w:val="009977BF"/>
    <w:rsid w:val="009A185F"/>
    <w:rsid w:val="009A29E8"/>
    <w:rsid w:val="009A3F63"/>
    <w:rsid w:val="009A40FE"/>
    <w:rsid w:val="009A51F3"/>
    <w:rsid w:val="009A5309"/>
    <w:rsid w:val="009A64BB"/>
    <w:rsid w:val="009A6515"/>
    <w:rsid w:val="009A6DAA"/>
    <w:rsid w:val="009A7568"/>
    <w:rsid w:val="009B21BB"/>
    <w:rsid w:val="009B2DFD"/>
    <w:rsid w:val="009B3CA8"/>
    <w:rsid w:val="009B4E45"/>
    <w:rsid w:val="009B5813"/>
    <w:rsid w:val="009B6DE9"/>
    <w:rsid w:val="009B7434"/>
    <w:rsid w:val="009C0162"/>
    <w:rsid w:val="009C3570"/>
    <w:rsid w:val="009C3A8A"/>
    <w:rsid w:val="009C3C3B"/>
    <w:rsid w:val="009C47D8"/>
    <w:rsid w:val="009C48FB"/>
    <w:rsid w:val="009C4A44"/>
    <w:rsid w:val="009C746A"/>
    <w:rsid w:val="009C7A36"/>
    <w:rsid w:val="009D0824"/>
    <w:rsid w:val="009D1C00"/>
    <w:rsid w:val="009D1EB1"/>
    <w:rsid w:val="009D25CA"/>
    <w:rsid w:val="009D289F"/>
    <w:rsid w:val="009D38AD"/>
    <w:rsid w:val="009D3D14"/>
    <w:rsid w:val="009D46FB"/>
    <w:rsid w:val="009D5015"/>
    <w:rsid w:val="009D52A0"/>
    <w:rsid w:val="009D582A"/>
    <w:rsid w:val="009D6247"/>
    <w:rsid w:val="009D6436"/>
    <w:rsid w:val="009D6661"/>
    <w:rsid w:val="009D66D4"/>
    <w:rsid w:val="009D6787"/>
    <w:rsid w:val="009D6C28"/>
    <w:rsid w:val="009D7E6C"/>
    <w:rsid w:val="009E0E78"/>
    <w:rsid w:val="009E10C6"/>
    <w:rsid w:val="009E1766"/>
    <w:rsid w:val="009E1B05"/>
    <w:rsid w:val="009E2100"/>
    <w:rsid w:val="009E252F"/>
    <w:rsid w:val="009E32E5"/>
    <w:rsid w:val="009E423B"/>
    <w:rsid w:val="009E4978"/>
    <w:rsid w:val="009E5165"/>
    <w:rsid w:val="009E5C4D"/>
    <w:rsid w:val="009E5CEC"/>
    <w:rsid w:val="009E5F7D"/>
    <w:rsid w:val="009F1ADE"/>
    <w:rsid w:val="009F217D"/>
    <w:rsid w:val="009F22EA"/>
    <w:rsid w:val="009F2655"/>
    <w:rsid w:val="009F26E8"/>
    <w:rsid w:val="009F46DD"/>
    <w:rsid w:val="009F4907"/>
    <w:rsid w:val="009F4E65"/>
    <w:rsid w:val="009F5199"/>
    <w:rsid w:val="009F72CC"/>
    <w:rsid w:val="009F751B"/>
    <w:rsid w:val="00A01046"/>
    <w:rsid w:val="00A02468"/>
    <w:rsid w:val="00A025A2"/>
    <w:rsid w:val="00A02A3E"/>
    <w:rsid w:val="00A02E0F"/>
    <w:rsid w:val="00A0315E"/>
    <w:rsid w:val="00A035E9"/>
    <w:rsid w:val="00A042C4"/>
    <w:rsid w:val="00A04474"/>
    <w:rsid w:val="00A04BBB"/>
    <w:rsid w:val="00A05ECF"/>
    <w:rsid w:val="00A07918"/>
    <w:rsid w:val="00A10DEC"/>
    <w:rsid w:val="00A10FF2"/>
    <w:rsid w:val="00A1206F"/>
    <w:rsid w:val="00A12EEB"/>
    <w:rsid w:val="00A130C0"/>
    <w:rsid w:val="00A132F9"/>
    <w:rsid w:val="00A1348E"/>
    <w:rsid w:val="00A13600"/>
    <w:rsid w:val="00A13762"/>
    <w:rsid w:val="00A139AB"/>
    <w:rsid w:val="00A14581"/>
    <w:rsid w:val="00A15230"/>
    <w:rsid w:val="00A21371"/>
    <w:rsid w:val="00A22E4F"/>
    <w:rsid w:val="00A23266"/>
    <w:rsid w:val="00A234A2"/>
    <w:rsid w:val="00A23816"/>
    <w:rsid w:val="00A23F7C"/>
    <w:rsid w:val="00A23FCA"/>
    <w:rsid w:val="00A241C1"/>
    <w:rsid w:val="00A25696"/>
    <w:rsid w:val="00A26924"/>
    <w:rsid w:val="00A26986"/>
    <w:rsid w:val="00A27742"/>
    <w:rsid w:val="00A3014C"/>
    <w:rsid w:val="00A30C2B"/>
    <w:rsid w:val="00A30E40"/>
    <w:rsid w:val="00A31D0F"/>
    <w:rsid w:val="00A32A28"/>
    <w:rsid w:val="00A32D80"/>
    <w:rsid w:val="00A33A6F"/>
    <w:rsid w:val="00A33B7C"/>
    <w:rsid w:val="00A3560E"/>
    <w:rsid w:val="00A35780"/>
    <w:rsid w:val="00A360EE"/>
    <w:rsid w:val="00A374A5"/>
    <w:rsid w:val="00A37A98"/>
    <w:rsid w:val="00A410CF"/>
    <w:rsid w:val="00A41372"/>
    <w:rsid w:val="00A41FBB"/>
    <w:rsid w:val="00A43D82"/>
    <w:rsid w:val="00A43EC5"/>
    <w:rsid w:val="00A43FF8"/>
    <w:rsid w:val="00A446FD"/>
    <w:rsid w:val="00A45E38"/>
    <w:rsid w:val="00A47155"/>
    <w:rsid w:val="00A47912"/>
    <w:rsid w:val="00A47E06"/>
    <w:rsid w:val="00A51C22"/>
    <w:rsid w:val="00A51DA9"/>
    <w:rsid w:val="00A51FD9"/>
    <w:rsid w:val="00A524D0"/>
    <w:rsid w:val="00A52E9D"/>
    <w:rsid w:val="00A56058"/>
    <w:rsid w:val="00A56C1B"/>
    <w:rsid w:val="00A56C3D"/>
    <w:rsid w:val="00A57435"/>
    <w:rsid w:val="00A57DBE"/>
    <w:rsid w:val="00A57EA6"/>
    <w:rsid w:val="00A60CDF"/>
    <w:rsid w:val="00A62148"/>
    <w:rsid w:val="00A62257"/>
    <w:rsid w:val="00A622E2"/>
    <w:rsid w:val="00A62674"/>
    <w:rsid w:val="00A63700"/>
    <w:rsid w:val="00A6383D"/>
    <w:rsid w:val="00A63B70"/>
    <w:rsid w:val="00A63D5B"/>
    <w:rsid w:val="00A64FDB"/>
    <w:rsid w:val="00A6598D"/>
    <w:rsid w:val="00A65BA8"/>
    <w:rsid w:val="00A66E1D"/>
    <w:rsid w:val="00A67022"/>
    <w:rsid w:val="00A70240"/>
    <w:rsid w:val="00A7026B"/>
    <w:rsid w:val="00A7071E"/>
    <w:rsid w:val="00A71AA7"/>
    <w:rsid w:val="00A72620"/>
    <w:rsid w:val="00A75EBC"/>
    <w:rsid w:val="00A76BE3"/>
    <w:rsid w:val="00A77659"/>
    <w:rsid w:val="00A77A24"/>
    <w:rsid w:val="00A8075F"/>
    <w:rsid w:val="00A813FA"/>
    <w:rsid w:val="00A81614"/>
    <w:rsid w:val="00A817C9"/>
    <w:rsid w:val="00A8248C"/>
    <w:rsid w:val="00A83D99"/>
    <w:rsid w:val="00A84581"/>
    <w:rsid w:val="00A84AA1"/>
    <w:rsid w:val="00A84B22"/>
    <w:rsid w:val="00A85D83"/>
    <w:rsid w:val="00A865D8"/>
    <w:rsid w:val="00A86D8D"/>
    <w:rsid w:val="00A87315"/>
    <w:rsid w:val="00A87EBE"/>
    <w:rsid w:val="00A90478"/>
    <w:rsid w:val="00A90E74"/>
    <w:rsid w:val="00A91F7A"/>
    <w:rsid w:val="00A9314F"/>
    <w:rsid w:val="00A9373A"/>
    <w:rsid w:val="00A93922"/>
    <w:rsid w:val="00A962E5"/>
    <w:rsid w:val="00A970CA"/>
    <w:rsid w:val="00AA06EB"/>
    <w:rsid w:val="00AA18EF"/>
    <w:rsid w:val="00AA2AB0"/>
    <w:rsid w:val="00AA321C"/>
    <w:rsid w:val="00AA3E67"/>
    <w:rsid w:val="00AA5ED5"/>
    <w:rsid w:val="00AA7153"/>
    <w:rsid w:val="00AA7445"/>
    <w:rsid w:val="00AB00BC"/>
    <w:rsid w:val="00AB14FF"/>
    <w:rsid w:val="00AB1FA1"/>
    <w:rsid w:val="00AB23AA"/>
    <w:rsid w:val="00AB5CEC"/>
    <w:rsid w:val="00AB69EC"/>
    <w:rsid w:val="00AC02ED"/>
    <w:rsid w:val="00AC251C"/>
    <w:rsid w:val="00AC2EA0"/>
    <w:rsid w:val="00AC41FB"/>
    <w:rsid w:val="00AC489B"/>
    <w:rsid w:val="00AC557E"/>
    <w:rsid w:val="00AC5624"/>
    <w:rsid w:val="00AC7A8F"/>
    <w:rsid w:val="00AD03D1"/>
    <w:rsid w:val="00AD05A1"/>
    <w:rsid w:val="00AD11FC"/>
    <w:rsid w:val="00AD222B"/>
    <w:rsid w:val="00AD3D87"/>
    <w:rsid w:val="00AD4673"/>
    <w:rsid w:val="00AD5C09"/>
    <w:rsid w:val="00AD709E"/>
    <w:rsid w:val="00AE08F6"/>
    <w:rsid w:val="00AE0DAD"/>
    <w:rsid w:val="00AE0ECF"/>
    <w:rsid w:val="00AE15D7"/>
    <w:rsid w:val="00AE2F00"/>
    <w:rsid w:val="00AE314F"/>
    <w:rsid w:val="00AE3B6B"/>
    <w:rsid w:val="00AE4697"/>
    <w:rsid w:val="00AE4968"/>
    <w:rsid w:val="00AE565D"/>
    <w:rsid w:val="00AE6085"/>
    <w:rsid w:val="00AE6843"/>
    <w:rsid w:val="00AE6E68"/>
    <w:rsid w:val="00AE74EF"/>
    <w:rsid w:val="00AF03C2"/>
    <w:rsid w:val="00AF0448"/>
    <w:rsid w:val="00AF1514"/>
    <w:rsid w:val="00AF2D0D"/>
    <w:rsid w:val="00AF45B8"/>
    <w:rsid w:val="00AF5BDC"/>
    <w:rsid w:val="00AF6309"/>
    <w:rsid w:val="00AF672A"/>
    <w:rsid w:val="00AF683B"/>
    <w:rsid w:val="00AF6B52"/>
    <w:rsid w:val="00AF6C73"/>
    <w:rsid w:val="00AF7D80"/>
    <w:rsid w:val="00B00890"/>
    <w:rsid w:val="00B014EB"/>
    <w:rsid w:val="00B015CA"/>
    <w:rsid w:val="00B01908"/>
    <w:rsid w:val="00B02823"/>
    <w:rsid w:val="00B02FF4"/>
    <w:rsid w:val="00B03887"/>
    <w:rsid w:val="00B03F80"/>
    <w:rsid w:val="00B04B32"/>
    <w:rsid w:val="00B04F17"/>
    <w:rsid w:val="00B0626E"/>
    <w:rsid w:val="00B065F3"/>
    <w:rsid w:val="00B06802"/>
    <w:rsid w:val="00B073BF"/>
    <w:rsid w:val="00B079E8"/>
    <w:rsid w:val="00B07A61"/>
    <w:rsid w:val="00B106C2"/>
    <w:rsid w:val="00B111A1"/>
    <w:rsid w:val="00B11230"/>
    <w:rsid w:val="00B11471"/>
    <w:rsid w:val="00B11C43"/>
    <w:rsid w:val="00B12077"/>
    <w:rsid w:val="00B12561"/>
    <w:rsid w:val="00B13763"/>
    <w:rsid w:val="00B13B36"/>
    <w:rsid w:val="00B13B41"/>
    <w:rsid w:val="00B1416C"/>
    <w:rsid w:val="00B14BBE"/>
    <w:rsid w:val="00B15D02"/>
    <w:rsid w:val="00B21AD3"/>
    <w:rsid w:val="00B22845"/>
    <w:rsid w:val="00B228D8"/>
    <w:rsid w:val="00B23A36"/>
    <w:rsid w:val="00B31198"/>
    <w:rsid w:val="00B31C96"/>
    <w:rsid w:val="00B33892"/>
    <w:rsid w:val="00B354C0"/>
    <w:rsid w:val="00B35F45"/>
    <w:rsid w:val="00B36664"/>
    <w:rsid w:val="00B406F1"/>
    <w:rsid w:val="00B4077C"/>
    <w:rsid w:val="00B40BE4"/>
    <w:rsid w:val="00B42FBD"/>
    <w:rsid w:val="00B4376E"/>
    <w:rsid w:val="00B440DF"/>
    <w:rsid w:val="00B446CE"/>
    <w:rsid w:val="00B450E7"/>
    <w:rsid w:val="00B45933"/>
    <w:rsid w:val="00B45BEC"/>
    <w:rsid w:val="00B4732B"/>
    <w:rsid w:val="00B50F2F"/>
    <w:rsid w:val="00B52025"/>
    <w:rsid w:val="00B530A7"/>
    <w:rsid w:val="00B5393F"/>
    <w:rsid w:val="00B546E9"/>
    <w:rsid w:val="00B54CE2"/>
    <w:rsid w:val="00B558FD"/>
    <w:rsid w:val="00B55FFC"/>
    <w:rsid w:val="00B56968"/>
    <w:rsid w:val="00B5721A"/>
    <w:rsid w:val="00B5784D"/>
    <w:rsid w:val="00B579E7"/>
    <w:rsid w:val="00B61834"/>
    <w:rsid w:val="00B618FE"/>
    <w:rsid w:val="00B62D4A"/>
    <w:rsid w:val="00B64688"/>
    <w:rsid w:val="00B64DF6"/>
    <w:rsid w:val="00B6550D"/>
    <w:rsid w:val="00B65A34"/>
    <w:rsid w:val="00B65D77"/>
    <w:rsid w:val="00B6622A"/>
    <w:rsid w:val="00B6718A"/>
    <w:rsid w:val="00B671E6"/>
    <w:rsid w:val="00B703BF"/>
    <w:rsid w:val="00B7091B"/>
    <w:rsid w:val="00B73604"/>
    <w:rsid w:val="00B740E5"/>
    <w:rsid w:val="00B76F51"/>
    <w:rsid w:val="00B77681"/>
    <w:rsid w:val="00B77AF9"/>
    <w:rsid w:val="00B77FAF"/>
    <w:rsid w:val="00B80012"/>
    <w:rsid w:val="00B80728"/>
    <w:rsid w:val="00B811F3"/>
    <w:rsid w:val="00B8219B"/>
    <w:rsid w:val="00B821E6"/>
    <w:rsid w:val="00B83996"/>
    <w:rsid w:val="00B83FD9"/>
    <w:rsid w:val="00B84522"/>
    <w:rsid w:val="00B853A4"/>
    <w:rsid w:val="00B8568B"/>
    <w:rsid w:val="00B85876"/>
    <w:rsid w:val="00B8790E"/>
    <w:rsid w:val="00B90E9B"/>
    <w:rsid w:val="00B91070"/>
    <w:rsid w:val="00B92B62"/>
    <w:rsid w:val="00B9370F"/>
    <w:rsid w:val="00B95CDB"/>
    <w:rsid w:val="00B95FC1"/>
    <w:rsid w:val="00B96B52"/>
    <w:rsid w:val="00B97C3E"/>
    <w:rsid w:val="00BA05EA"/>
    <w:rsid w:val="00BA06F7"/>
    <w:rsid w:val="00BA0D8B"/>
    <w:rsid w:val="00BA0E5D"/>
    <w:rsid w:val="00BA10A3"/>
    <w:rsid w:val="00BA1323"/>
    <w:rsid w:val="00BA2346"/>
    <w:rsid w:val="00BA23F9"/>
    <w:rsid w:val="00BA35BC"/>
    <w:rsid w:val="00BA4228"/>
    <w:rsid w:val="00BA4376"/>
    <w:rsid w:val="00BA4A96"/>
    <w:rsid w:val="00BA4B2B"/>
    <w:rsid w:val="00BA586F"/>
    <w:rsid w:val="00BB1C8D"/>
    <w:rsid w:val="00BB3153"/>
    <w:rsid w:val="00BB3B2B"/>
    <w:rsid w:val="00BB3B6B"/>
    <w:rsid w:val="00BB6723"/>
    <w:rsid w:val="00BC0493"/>
    <w:rsid w:val="00BC070A"/>
    <w:rsid w:val="00BC1AC7"/>
    <w:rsid w:val="00BC1BB1"/>
    <w:rsid w:val="00BC3722"/>
    <w:rsid w:val="00BC3C31"/>
    <w:rsid w:val="00BC4193"/>
    <w:rsid w:val="00BC4689"/>
    <w:rsid w:val="00BC5B65"/>
    <w:rsid w:val="00BC5B88"/>
    <w:rsid w:val="00BC6E0F"/>
    <w:rsid w:val="00BC73E2"/>
    <w:rsid w:val="00BC7742"/>
    <w:rsid w:val="00BC78CB"/>
    <w:rsid w:val="00BC7D47"/>
    <w:rsid w:val="00BD07EA"/>
    <w:rsid w:val="00BD154A"/>
    <w:rsid w:val="00BD3568"/>
    <w:rsid w:val="00BD3976"/>
    <w:rsid w:val="00BD46F4"/>
    <w:rsid w:val="00BD5AF8"/>
    <w:rsid w:val="00BD6348"/>
    <w:rsid w:val="00BD6533"/>
    <w:rsid w:val="00BE03A3"/>
    <w:rsid w:val="00BE16BE"/>
    <w:rsid w:val="00BE3851"/>
    <w:rsid w:val="00BE3C1D"/>
    <w:rsid w:val="00BE4D7C"/>
    <w:rsid w:val="00BE6B2E"/>
    <w:rsid w:val="00BE6DE3"/>
    <w:rsid w:val="00BE76D4"/>
    <w:rsid w:val="00BE7753"/>
    <w:rsid w:val="00BF00EE"/>
    <w:rsid w:val="00BF0C94"/>
    <w:rsid w:val="00BF159C"/>
    <w:rsid w:val="00BF1BAB"/>
    <w:rsid w:val="00BF1DF8"/>
    <w:rsid w:val="00BF5743"/>
    <w:rsid w:val="00BF5D95"/>
    <w:rsid w:val="00BF7F1A"/>
    <w:rsid w:val="00C0019B"/>
    <w:rsid w:val="00C00AEC"/>
    <w:rsid w:val="00C025CA"/>
    <w:rsid w:val="00C0300A"/>
    <w:rsid w:val="00C032CE"/>
    <w:rsid w:val="00C034D9"/>
    <w:rsid w:val="00C0362A"/>
    <w:rsid w:val="00C03734"/>
    <w:rsid w:val="00C03906"/>
    <w:rsid w:val="00C03BF1"/>
    <w:rsid w:val="00C04EA5"/>
    <w:rsid w:val="00C051A8"/>
    <w:rsid w:val="00C05391"/>
    <w:rsid w:val="00C05D24"/>
    <w:rsid w:val="00C06E21"/>
    <w:rsid w:val="00C07481"/>
    <w:rsid w:val="00C07C6E"/>
    <w:rsid w:val="00C106C9"/>
    <w:rsid w:val="00C1429A"/>
    <w:rsid w:val="00C146FE"/>
    <w:rsid w:val="00C14BE0"/>
    <w:rsid w:val="00C14F0F"/>
    <w:rsid w:val="00C14F77"/>
    <w:rsid w:val="00C16AB8"/>
    <w:rsid w:val="00C16AF5"/>
    <w:rsid w:val="00C17B3E"/>
    <w:rsid w:val="00C20018"/>
    <w:rsid w:val="00C20A9C"/>
    <w:rsid w:val="00C211B8"/>
    <w:rsid w:val="00C216AA"/>
    <w:rsid w:val="00C21703"/>
    <w:rsid w:val="00C21EB9"/>
    <w:rsid w:val="00C21FAE"/>
    <w:rsid w:val="00C22CCD"/>
    <w:rsid w:val="00C23ECA"/>
    <w:rsid w:val="00C24E7A"/>
    <w:rsid w:val="00C25244"/>
    <w:rsid w:val="00C2638B"/>
    <w:rsid w:val="00C274C0"/>
    <w:rsid w:val="00C300C6"/>
    <w:rsid w:val="00C301AB"/>
    <w:rsid w:val="00C30E69"/>
    <w:rsid w:val="00C31A68"/>
    <w:rsid w:val="00C32527"/>
    <w:rsid w:val="00C32A87"/>
    <w:rsid w:val="00C32E7D"/>
    <w:rsid w:val="00C33289"/>
    <w:rsid w:val="00C33CA1"/>
    <w:rsid w:val="00C340AE"/>
    <w:rsid w:val="00C34916"/>
    <w:rsid w:val="00C34CF8"/>
    <w:rsid w:val="00C35EB1"/>
    <w:rsid w:val="00C36721"/>
    <w:rsid w:val="00C375D5"/>
    <w:rsid w:val="00C37C20"/>
    <w:rsid w:val="00C37F9D"/>
    <w:rsid w:val="00C402E7"/>
    <w:rsid w:val="00C40400"/>
    <w:rsid w:val="00C40712"/>
    <w:rsid w:val="00C40E97"/>
    <w:rsid w:val="00C41555"/>
    <w:rsid w:val="00C4193F"/>
    <w:rsid w:val="00C41F35"/>
    <w:rsid w:val="00C444FA"/>
    <w:rsid w:val="00C45148"/>
    <w:rsid w:val="00C4603E"/>
    <w:rsid w:val="00C46127"/>
    <w:rsid w:val="00C4743A"/>
    <w:rsid w:val="00C5070E"/>
    <w:rsid w:val="00C51AAD"/>
    <w:rsid w:val="00C52483"/>
    <w:rsid w:val="00C5362B"/>
    <w:rsid w:val="00C54343"/>
    <w:rsid w:val="00C546E8"/>
    <w:rsid w:val="00C5610F"/>
    <w:rsid w:val="00C56AC9"/>
    <w:rsid w:val="00C57063"/>
    <w:rsid w:val="00C577CA"/>
    <w:rsid w:val="00C60E21"/>
    <w:rsid w:val="00C60EB9"/>
    <w:rsid w:val="00C611A8"/>
    <w:rsid w:val="00C6148E"/>
    <w:rsid w:val="00C62689"/>
    <w:rsid w:val="00C6323F"/>
    <w:rsid w:val="00C64597"/>
    <w:rsid w:val="00C65667"/>
    <w:rsid w:val="00C65A19"/>
    <w:rsid w:val="00C66C2B"/>
    <w:rsid w:val="00C704E6"/>
    <w:rsid w:val="00C70B1B"/>
    <w:rsid w:val="00C70DFC"/>
    <w:rsid w:val="00C71D9F"/>
    <w:rsid w:val="00C7220B"/>
    <w:rsid w:val="00C72312"/>
    <w:rsid w:val="00C76975"/>
    <w:rsid w:val="00C77813"/>
    <w:rsid w:val="00C77890"/>
    <w:rsid w:val="00C77B96"/>
    <w:rsid w:val="00C805FA"/>
    <w:rsid w:val="00C80829"/>
    <w:rsid w:val="00C80B93"/>
    <w:rsid w:val="00C81593"/>
    <w:rsid w:val="00C8174A"/>
    <w:rsid w:val="00C821B5"/>
    <w:rsid w:val="00C82A04"/>
    <w:rsid w:val="00C8401F"/>
    <w:rsid w:val="00C84950"/>
    <w:rsid w:val="00C85A9E"/>
    <w:rsid w:val="00C864BC"/>
    <w:rsid w:val="00C86974"/>
    <w:rsid w:val="00C86C4A"/>
    <w:rsid w:val="00C87F7A"/>
    <w:rsid w:val="00C90A1D"/>
    <w:rsid w:val="00C930E3"/>
    <w:rsid w:val="00C94804"/>
    <w:rsid w:val="00C96430"/>
    <w:rsid w:val="00C96D85"/>
    <w:rsid w:val="00C97985"/>
    <w:rsid w:val="00CA0E55"/>
    <w:rsid w:val="00CA0F68"/>
    <w:rsid w:val="00CA1BD7"/>
    <w:rsid w:val="00CA1D05"/>
    <w:rsid w:val="00CA2754"/>
    <w:rsid w:val="00CA34F4"/>
    <w:rsid w:val="00CA391A"/>
    <w:rsid w:val="00CA46DE"/>
    <w:rsid w:val="00CA5FFA"/>
    <w:rsid w:val="00CA7431"/>
    <w:rsid w:val="00CA7C97"/>
    <w:rsid w:val="00CB04C4"/>
    <w:rsid w:val="00CB0AD5"/>
    <w:rsid w:val="00CB0B5D"/>
    <w:rsid w:val="00CB0B60"/>
    <w:rsid w:val="00CB10F8"/>
    <w:rsid w:val="00CB11B7"/>
    <w:rsid w:val="00CB16D6"/>
    <w:rsid w:val="00CB16EB"/>
    <w:rsid w:val="00CB20A3"/>
    <w:rsid w:val="00CB2D43"/>
    <w:rsid w:val="00CB3D19"/>
    <w:rsid w:val="00CB3E7E"/>
    <w:rsid w:val="00CB3FC9"/>
    <w:rsid w:val="00CB4239"/>
    <w:rsid w:val="00CB4505"/>
    <w:rsid w:val="00CB4761"/>
    <w:rsid w:val="00CB5A40"/>
    <w:rsid w:val="00CB5CF0"/>
    <w:rsid w:val="00CB649A"/>
    <w:rsid w:val="00CB6A9A"/>
    <w:rsid w:val="00CB6B87"/>
    <w:rsid w:val="00CB6E7B"/>
    <w:rsid w:val="00CB75EC"/>
    <w:rsid w:val="00CC1461"/>
    <w:rsid w:val="00CC1E13"/>
    <w:rsid w:val="00CC27C4"/>
    <w:rsid w:val="00CC33E7"/>
    <w:rsid w:val="00CC346E"/>
    <w:rsid w:val="00CC3699"/>
    <w:rsid w:val="00CC4968"/>
    <w:rsid w:val="00CC51B5"/>
    <w:rsid w:val="00CC5AAC"/>
    <w:rsid w:val="00CC5B82"/>
    <w:rsid w:val="00CC606C"/>
    <w:rsid w:val="00CC79AA"/>
    <w:rsid w:val="00CD0657"/>
    <w:rsid w:val="00CD0D87"/>
    <w:rsid w:val="00CD1A44"/>
    <w:rsid w:val="00CD20A5"/>
    <w:rsid w:val="00CD2A01"/>
    <w:rsid w:val="00CD2F33"/>
    <w:rsid w:val="00CD2F88"/>
    <w:rsid w:val="00CD3135"/>
    <w:rsid w:val="00CD34B4"/>
    <w:rsid w:val="00CD6EBB"/>
    <w:rsid w:val="00CD750B"/>
    <w:rsid w:val="00CD7F1F"/>
    <w:rsid w:val="00CE0231"/>
    <w:rsid w:val="00CE3368"/>
    <w:rsid w:val="00CE3BF6"/>
    <w:rsid w:val="00CE3FFD"/>
    <w:rsid w:val="00CE4234"/>
    <w:rsid w:val="00CE43BB"/>
    <w:rsid w:val="00CE5533"/>
    <w:rsid w:val="00CE5B2C"/>
    <w:rsid w:val="00CE7025"/>
    <w:rsid w:val="00CE7294"/>
    <w:rsid w:val="00CE7E77"/>
    <w:rsid w:val="00CF03C4"/>
    <w:rsid w:val="00CF1274"/>
    <w:rsid w:val="00CF6F93"/>
    <w:rsid w:val="00D0041F"/>
    <w:rsid w:val="00D00E34"/>
    <w:rsid w:val="00D029B8"/>
    <w:rsid w:val="00D02ADC"/>
    <w:rsid w:val="00D033CA"/>
    <w:rsid w:val="00D034D8"/>
    <w:rsid w:val="00D0350F"/>
    <w:rsid w:val="00D03C63"/>
    <w:rsid w:val="00D040CA"/>
    <w:rsid w:val="00D04917"/>
    <w:rsid w:val="00D04B42"/>
    <w:rsid w:val="00D04EE4"/>
    <w:rsid w:val="00D055DF"/>
    <w:rsid w:val="00D0696D"/>
    <w:rsid w:val="00D071D9"/>
    <w:rsid w:val="00D07C0A"/>
    <w:rsid w:val="00D107C9"/>
    <w:rsid w:val="00D114CE"/>
    <w:rsid w:val="00D1192D"/>
    <w:rsid w:val="00D13392"/>
    <w:rsid w:val="00D144E5"/>
    <w:rsid w:val="00D14725"/>
    <w:rsid w:val="00D14909"/>
    <w:rsid w:val="00D162E1"/>
    <w:rsid w:val="00D16824"/>
    <w:rsid w:val="00D16D17"/>
    <w:rsid w:val="00D16FAB"/>
    <w:rsid w:val="00D17757"/>
    <w:rsid w:val="00D177B9"/>
    <w:rsid w:val="00D20AC8"/>
    <w:rsid w:val="00D21572"/>
    <w:rsid w:val="00D2229E"/>
    <w:rsid w:val="00D23890"/>
    <w:rsid w:val="00D243E0"/>
    <w:rsid w:val="00D2483F"/>
    <w:rsid w:val="00D249E6"/>
    <w:rsid w:val="00D25181"/>
    <w:rsid w:val="00D2574D"/>
    <w:rsid w:val="00D25781"/>
    <w:rsid w:val="00D270D5"/>
    <w:rsid w:val="00D27F7C"/>
    <w:rsid w:val="00D30B2D"/>
    <w:rsid w:val="00D315AE"/>
    <w:rsid w:val="00D326DE"/>
    <w:rsid w:val="00D35FE7"/>
    <w:rsid w:val="00D36CF5"/>
    <w:rsid w:val="00D40627"/>
    <w:rsid w:val="00D40E19"/>
    <w:rsid w:val="00D428ED"/>
    <w:rsid w:val="00D42913"/>
    <w:rsid w:val="00D42DE2"/>
    <w:rsid w:val="00D42E78"/>
    <w:rsid w:val="00D4386F"/>
    <w:rsid w:val="00D440EB"/>
    <w:rsid w:val="00D441C8"/>
    <w:rsid w:val="00D44780"/>
    <w:rsid w:val="00D458B4"/>
    <w:rsid w:val="00D4626C"/>
    <w:rsid w:val="00D46349"/>
    <w:rsid w:val="00D4646A"/>
    <w:rsid w:val="00D46CC7"/>
    <w:rsid w:val="00D47AC1"/>
    <w:rsid w:val="00D50054"/>
    <w:rsid w:val="00D50E3D"/>
    <w:rsid w:val="00D51143"/>
    <w:rsid w:val="00D511E3"/>
    <w:rsid w:val="00D51786"/>
    <w:rsid w:val="00D52243"/>
    <w:rsid w:val="00D52817"/>
    <w:rsid w:val="00D52BD6"/>
    <w:rsid w:val="00D53972"/>
    <w:rsid w:val="00D54860"/>
    <w:rsid w:val="00D57040"/>
    <w:rsid w:val="00D5746A"/>
    <w:rsid w:val="00D57CA7"/>
    <w:rsid w:val="00D612A6"/>
    <w:rsid w:val="00D612F0"/>
    <w:rsid w:val="00D61A86"/>
    <w:rsid w:val="00D62810"/>
    <w:rsid w:val="00D640B8"/>
    <w:rsid w:val="00D64179"/>
    <w:rsid w:val="00D64347"/>
    <w:rsid w:val="00D64C79"/>
    <w:rsid w:val="00D66C49"/>
    <w:rsid w:val="00D67C37"/>
    <w:rsid w:val="00D70397"/>
    <w:rsid w:val="00D70D7D"/>
    <w:rsid w:val="00D71809"/>
    <w:rsid w:val="00D71C0A"/>
    <w:rsid w:val="00D71F99"/>
    <w:rsid w:val="00D7217A"/>
    <w:rsid w:val="00D7389B"/>
    <w:rsid w:val="00D75B2B"/>
    <w:rsid w:val="00D76204"/>
    <w:rsid w:val="00D7650B"/>
    <w:rsid w:val="00D774FB"/>
    <w:rsid w:val="00D80E46"/>
    <w:rsid w:val="00D81642"/>
    <w:rsid w:val="00D81DD5"/>
    <w:rsid w:val="00D82557"/>
    <w:rsid w:val="00D82DD7"/>
    <w:rsid w:val="00D8323F"/>
    <w:rsid w:val="00D84052"/>
    <w:rsid w:val="00D848CA"/>
    <w:rsid w:val="00D84DAD"/>
    <w:rsid w:val="00D84E63"/>
    <w:rsid w:val="00D85224"/>
    <w:rsid w:val="00D90507"/>
    <w:rsid w:val="00D908B0"/>
    <w:rsid w:val="00D915FB"/>
    <w:rsid w:val="00D94103"/>
    <w:rsid w:val="00D94401"/>
    <w:rsid w:val="00D94554"/>
    <w:rsid w:val="00D94F80"/>
    <w:rsid w:val="00D97646"/>
    <w:rsid w:val="00D97E1E"/>
    <w:rsid w:val="00DA03F0"/>
    <w:rsid w:val="00DA2982"/>
    <w:rsid w:val="00DA3FC1"/>
    <w:rsid w:val="00DA4445"/>
    <w:rsid w:val="00DA49C2"/>
    <w:rsid w:val="00DA4AC1"/>
    <w:rsid w:val="00DA4B46"/>
    <w:rsid w:val="00DA4D20"/>
    <w:rsid w:val="00DA56F6"/>
    <w:rsid w:val="00DA5DAA"/>
    <w:rsid w:val="00DA7015"/>
    <w:rsid w:val="00DA7673"/>
    <w:rsid w:val="00DB0B03"/>
    <w:rsid w:val="00DB0EF9"/>
    <w:rsid w:val="00DB1174"/>
    <w:rsid w:val="00DB145C"/>
    <w:rsid w:val="00DB183F"/>
    <w:rsid w:val="00DB261D"/>
    <w:rsid w:val="00DB2CBA"/>
    <w:rsid w:val="00DB37E5"/>
    <w:rsid w:val="00DB3E2F"/>
    <w:rsid w:val="00DB400D"/>
    <w:rsid w:val="00DB45FE"/>
    <w:rsid w:val="00DB613F"/>
    <w:rsid w:val="00DB63C1"/>
    <w:rsid w:val="00DB64B3"/>
    <w:rsid w:val="00DB6AAA"/>
    <w:rsid w:val="00DC192F"/>
    <w:rsid w:val="00DC1AA1"/>
    <w:rsid w:val="00DC1BE6"/>
    <w:rsid w:val="00DC2163"/>
    <w:rsid w:val="00DC408F"/>
    <w:rsid w:val="00DC47E8"/>
    <w:rsid w:val="00DC5950"/>
    <w:rsid w:val="00DC7612"/>
    <w:rsid w:val="00DD000C"/>
    <w:rsid w:val="00DD087A"/>
    <w:rsid w:val="00DD0910"/>
    <w:rsid w:val="00DD13A1"/>
    <w:rsid w:val="00DD15B7"/>
    <w:rsid w:val="00DD1E92"/>
    <w:rsid w:val="00DD2C22"/>
    <w:rsid w:val="00DD2E3A"/>
    <w:rsid w:val="00DD2E97"/>
    <w:rsid w:val="00DD3262"/>
    <w:rsid w:val="00DD361E"/>
    <w:rsid w:val="00DD39E0"/>
    <w:rsid w:val="00DD3B47"/>
    <w:rsid w:val="00DD3DB2"/>
    <w:rsid w:val="00DD4641"/>
    <w:rsid w:val="00DD4C42"/>
    <w:rsid w:val="00DD5A6E"/>
    <w:rsid w:val="00DD609D"/>
    <w:rsid w:val="00DD6CB1"/>
    <w:rsid w:val="00DE03A5"/>
    <w:rsid w:val="00DE046E"/>
    <w:rsid w:val="00DE07F1"/>
    <w:rsid w:val="00DE1D71"/>
    <w:rsid w:val="00DE25BF"/>
    <w:rsid w:val="00DE26CC"/>
    <w:rsid w:val="00DE4988"/>
    <w:rsid w:val="00DE4D6B"/>
    <w:rsid w:val="00DE5001"/>
    <w:rsid w:val="00DE61A9"/>
    <w:rsid w:val="00DE752F"/>
    <w:rsid w:val="00DE7E74"/>
    <w:rsid w:val="00DF004E"/>
    <w:rsid w:val="00DF0E40"/>
    <w:rsid w:val="00DF1426"/>
    <w:rsid w:val="00DF148F"/>
    <w:rsid w:val="00DF18FB"/>
    <w:rsid w:val="00DF1E6F"/>
    <w:rsid w:val="00DF2692"/>
    <w:rsid w:val="00DF2DF6"/>
    <w:rsid w:val="00DF34F0"/>
    <w:rsid w:val="00DF3D7C"/>
    <w:rsid w:val="00DF3FDF"/>
    <w:rsid w:val="00DF5097"/>
    <w:rsid w:val="00DF6E3A"/>
    <w:rsid w:val="00E006D3"/>
    <w:rsid w:val="00E02E65"/>
    <w:rsid w:val="00E034FE"/>
    <w:rsid w:val="00E041B8"/>
    <w:rsid w:val="00E04DC8"/>
    <w:rsid w:val="00E04F8E"/>
    <w:rsid w:val="00E05462"/>
    <w:rsid w:val="00E06883"/>
    <w:rsid w:val="00E07487"/>
    <w:rsid w:val="00E0753E"/>
    <w:rsid w:val="00E10DCB"/>
    <w:rsid w:val="00E110D5"/>
    <w:rsid w:val="00E112D0"/>
    <w:rsid w:val="00E1395B"/>
    <w:rsid w:val="00E13AB7"/>
    <w:rsid w:val="00E1469E"/>
    <w:rsid w:val="00E14BE2"/>
    <w:rsid w:val="00E15E7E"/>
    <w:rsid w:val="00E16535"/>
    <w:rsid w:val="00E17ED6"/>
    <w:rsid w:val="00E2025E"/>
    <w:rsid w:val="00E203CA"/>
    <w:rsid w:val="00E20A7F"/>
    <w:rsid w:val="00E20C96"/>
    <w:rsid w:val="00E21A26"/>
    <w:rsid w:val="00E229DD"/>
    <w:rsid w:val="00E22C3F"/>
    <w:rsid w:val="00E22DF0"/>
    <w:rsid w:val="00E24ABB"/>
    <w:rsid w:val="00E24D1E"/>
    <w:rsid w:val="00E25CFB"/>
    <w:rsid w:val="00E260D2"/>
    <w:rsid w:val="00E268FF"/>
    <w:rsid w:val="00E271FC"/>
    <w:rsid w:val="00E272FE"/>
    <w:rsid w:val="00E27C8C"/>
    <w:rsid w:val="00E27CDA"/>
    <w:rsid w:val="00E3101B"/>
    <w:rsid w:val="00E316A8"/>
    <w:rsid w:val="00E32B17"/>
    <w:rsid w:val="00E33D70"/>
    <w:rsid w:val="00E342C7"/>
    <w:rsid w:val="00E34EE4"/>
    <w:rsid w:val="00E35024"/>
    <w:rsid w:val="00E35613"/>
    <w:rsid w:val="00E3573A"/>
    <w:rsid w:val="00E371C4"/>
    <w:rsid w:val="00E414E1"/>
    <w:rsid w:val="00E41B3E"/>
    <w:rsid w:val="00E41C27"/>
    <w:rsid w:val="00E41E76"/>
    <w:rsid w:val="00E43255"/>
    <w:rsid w:val="00E439BD"/>
    <w:rsid w:val="00E439E6"/>
    <w:rsid w:val="00E43A1D"/>
    <w:rsid w:val="00E43B7C"/>
    <w:rsid w:val="00E4536B"/>
    <w:rsid w:val="00E453C3"/>
    <w:rsid w:val="00E45AB9"/>
    <w:rsid w:val="00E47136"/>
    <w:rsid w:val="00E47FC4"/>
    <w:rsid w:val="00E47FF1"/>
    <w:rsid w:val="00E508BE"/>
    <w:rsid w:val="00E51002"/>
    <w:rsid w:val="00E51E33"/>
    <w:rsid w:val="00E51ECA"/>
    <w:rsid w:val="00E53417"/>
    <w:rsid w:val="00E552A4"/>
    <w:rsid w:val="00E553B5"/>
    <w:rsid w:val="00E557AD"/>
    <w:rsid w:val="00E5614A"/>
    <w:rsid w:val="00E5653B"/>
    <w:rsid w:val="00E569CB"/>
    <w:rsid w:val="00E603C1"/>
    <w:rsid w:val="00E60E7C"/>
    <w:rsid w:val="00E61702"/>
    <w:rsid w:val="00E676D7"/>
    <w:rsid w:val="00E67948"/>
    <w:rsid w:val="00E67B39"/>
    <w:rsid w:val="00E67DD7"/>
    <w:rsid w:val="00E67FE8"/>
    <w:rsid w:val="00E70773"/>
    <w:rsid w:val="00E723DF"/>
    <w:rsid w:val="00E72821"/>
    <w:rsid w:val="00E72B7F"/>
    <w:rsid w:val="00E72FB4"/>
    <w:rsid w:val="00E733E9"/>
    <w:rsid w:val="00E7466C"/>
    <w:rsid w:val="00E74946"/>
    <w:rsid w:val="00E74D2C"/>
    <w:rsid w:val="00E74F7F"/>
    <w:rsid w:val="00E755F9"/>
    <w:rsid w:val="00E75FBE"/>
    <w:rsid w:val="00E7665A"/>
    <w:rsid w:val="00E81366"/>
    <w:rsid w:val="00E819F8"/>
    <w:rsid w:val="00E81FA6"/>
    <w:rsid w:val="00E82B6F"/>
    <w:rsid w:val="00E85FDC"/>
    <w:rsid w:val="00E87142"/>
    <w:rsid w:val="00E91F31"/>
    <w:rsid w:val="00E91F93"/>
    <w:rsid w:val="00E932D1"/>
    <w:rsid w:val="00E934B8"/>
    <w:rsid w:val="00E93B7B"/>
    <w:rsid w:val="00E94C49"/>
    <w:rsid w:val="00E96DD8"/>
    <w:rsid w:val="00EA0C52"/>
    <w:rsid w:val="00EA0E10"/>
    <w:rsid w:val="00EA1DEF"/>
    <w:rsid w:val="00EA1EF5"/>
    <w:rsid w:val="00EA209D"/>
    <w:rsid w:val="00EA2C61"/>
    <w:rsid w:val="00EA2F1E"/>
    <w:rsid w:val="00EA6AEB"/>
    <w:rsid w:val="00EB0615"/>
    <w:rsid w:val="00EB1D59"/>
    <w:rsid w:val="00EB2399"/>
    <w:rsid w:val="00EB3DC0"/>
    <w:rsid w:val="00EB52F5"/>
    <w:rsid w:val="00EB59C0"/>
    <w:rsid w:val="00EB65B2"/>
    <w:rsid w:val="00EC0658"/>
    <w:rsid w:val="00EC1B6B"/>
    <w:rsid w:val="00EC2516"/>
    <w:rsid w:val="00EC3F00"/>
    <w:rsid w:val="00EC4204"/>
    <w:rsid w:val="00EC5167"/>
    <w:rsid w:val="00EC566E"/>
    <w:rsid w:val="00EC6617"/>
    <w:rsid w:val="00EC66C8"/>
    <w:rsid w:val="00EC6BD8"/>
    <w:rsid w:val="00ED00F6"/>
    <w:rsid w:val="00ED04CA"/>
    <w:rsid w:val="00ED2577"/>
    <w:rsid w:val="00ED3300"/>
    <w:rsid w:val="00ED3396"/>
    <w:rsid w:val="00ED4739"/>
    <w:rsid w:val="00ED4ECE"/>
    <w:rsid w:val="00ED60F7"/>
    <w:rsid w:val="00ED63B5"/>
    <w:rsid w:val="00ED6556"/>
    <w:rsid w:val="00EE03CD"/>
    <w:rsid w:val="00EE187B"/>
    <w:rsid w:val="00EE411B"/>
    <w:rsid w:val="00EE5F1F"/>
    <w:rsid w:val="00EE6B80"/>
    <w:rsid w:val="00EE7463"/>
    <w:rsid w:val="00EE7E02"/>
    <w:rsid w:val="00EF04C3"/>
    <w:rsid w:val="00EF1BAE"/>
    <w:rsid w:val="00EF2383"/>
    <w:rsid w:val="00EF3576"/>
    <w:rsid w:val="00EF399A"/>
    <w:rsid w:val="00EF3BFD"/>
    <w:rsid w:val="00EF4009"/>
    <w:rsid w:val="00EF4228"/>
    <w:rsid w:val="00EF514D"/>
    <w:rsid w:val="00EF637E"/>
    <w:rsid w:val="00EF6591"/>
    <w:rsid w:val="00EF660F"/>
    <w:rsid w:val="00F00B99"/>
    <w:rsid w:val="00F0126C"/>
    <w:rsid w:val="00F013A0"/>
    <w:rsid w:val="00F02D49"/>
    <w:rsid w:val="00F0306A"/>
    <w:rsid w:val="00F0441C"/>
    <w:rsid w:val="00F04C1F"/>
    <w:rsid w:val="00F0593C"/>
    <w:rsid w:val="00F065CD"/>
    <w:rsid w:val="00F0781E"/>
    <w:rsid w:val="00F07C57"/>
    <w:rsid w:val="00F110DC"/>
    <w:rsid w:val="00F12475"/>
    <w:rsid w:val="00F14CFB"/>
    <w:rsid w:val="00F15FA2"/>
    <w:rsid w:val="00F161FC"/>
    <w:rsid w:val="00F168D9"/>
    <w:rsid w:val="00F17379"/>
    <w:rsid w:val="00F20335"/>
    <w:rsid w:val="00F20DB6"/>
    <w:rsid w:val="00F212E2"/>
    <w:rsid w:val="00F22E20"/>
    <w:rsid w:val="00F237E8"/>
    <w:rsid w:val="00F273E6"/>
    <w:rsid w:val="00F2754E"/>
    <w:rsid w:val="00F3050D"/>
    <w:rsid w:val="00F30B7C"/>
    <w:rsid w:val="00F30DFE"/>
    <w:rsid w:val="00F30FA2"/>
    <w:rsid w:val="00F32983"/>
    <w:rsid w:val="00F347E6"/>
    <w:rsid w:val="00F35F62"/>
    <w:rsid w:val="00F36A54"/>
    <w:rsid w:val="00F37AC5"/>
    <w:rsid w:val="00F37B92"/>
    <w:rsid w:val="00F40812"/>
    <w:rsid w:val="00F41332"/>
    <w:rsid w:val="00F4157E"/>
    <w:rsid w:val="00F41DE8"/>
    <w:rsid w:val="00F4320E"/>
    <w:rsid w:val="00F43A2B"/>
    <w:rsid w:val="00F441B7"/>
    <w:rsid w:val="00F447CF"/>
    <w:rsid w:val="00F44E19"/>
    <w:rsid w:val="00F46AF8"/>
    <w:rsid w:val="00F478BE"/>
    <w:rsid w:val="00F506A9"/>
    <w:rsid w:val="00F50FA3"/>
    <w:rsid w:val="00F511AD"/>
    <w:rsid w:val="00F516A3"/>
    <w:rsid w:val="00F51F9C"/>
    <w:rsid w:val="00F52004"/>
    <w:rsid w:val="00F524B4"/>
    <w:rsid w:val="00F534F9"/>
    <w:rsid w:val="00F53DDF"/>
    <w:rsid w:val="00F54BC4"/>
    <w:rsid w:val="00F54BD2"/>
    <w:rsid w:val="00F5770A"/>
    <w:rsid w:val="00F578B2"/>
    <w:rsid w:val="00F57D30"/>
    <w:rsid w:val="00F6119C"/>
    <w:rsid w:val="00F615D2"/>
    <w:rsid w:val="00F62CFA"/>
    <w:rsid w:val="00F635CC"/>
    <w:rsid w:val="00F63BD9"/>
    <w:rsid w:val="00F64503"/>
    <w:rsid w:val="00F649FF"/>
    <w:rsid w:val="00F64D61"/>
    <w:rsid w:val="00F65819"/>
    <w:rsid w:val="00F66159"/>
    <w:rsid w:val="00F66917"/>
    <w:rsid w:val="00F66EF7"/>
    <w:rsid w:val="00F67942"/>
    <w:rsid w:val="00F7170B"/>
    <w:rsid w:val="00F72FD1"/>
    <w:rsid w:val="00F7412A"/>
    <w:rsid w:val="00F758FA"/>
    <w:rsid w:val="00F75FAC"/>
    <w:rsid w:val="00F76410"/>
    <w:rsid w:val="00F7736B"/>
    <w:rsid w:val="00F77424"/>
    <w:rsid w:val="00F77608"/>
    <w:rsid w:val="00F77B4E"/>
    <w:rsid w:val="00F80525"/>
    <w:rsid w:val="00F81D7D"/>
    <w:rsid w:val="00F83533"/>
    <w:rsid w:val="00F84F68"/>
    <w:rsid w:val="00F84F6F"/>
    <w:rsid w:val="00F86121"/>
    <w:rsid w:val="00F86941"/>
    <w:rsid w:val="00F87913"/>
    <w:rsid w:val="00F908B0"/>
    <w:rsid w:val="00F910AC"/>
    <w:rsid w:val="00F94449"/>
    <w:rsid w:val="00F950AD"/>
    <w:rsid w:val="00F95A8C"/>
    <w:rsid w:val="00F97A07"/>
    <w:rsid w:val="00F97EE8"/>
    <w:rsid w:val="00FA3964"/>
    <w:rsid w:val="00FA3D5D"/>
    <w:rsid w:val="00FA47EC"/>
    <w:rsid w:val="00FA4BA0"/>
    <w:rsid w:val="00FA4E1B"/>
    <w:rsid w:val="00FA5CFF"/>
    <w:rsid w:val="00FA6000"/>
    <w:rsid w:val="00FB06FF"/>
    <w:rsid w:val="00FB0739"/>
    <w:rsid w:val="00FB0CC6"/>
    <w:rsid w:val="00FB1491"/>
    <w:rsid w:val="00FB1A69"/>
    <w:rsid w:val="00FB24E9"/>
    <w:rsid w:val="00FB31F0"/>
    <w:rsid w:val="00FB340D"/>
    <w:rsid w:val="00FB379D"/>
    <w:rsid w:val="00FB540B"/>
    <w:rsid w:val="00FB5D3B"/>
    <w:rsid w:val="00FC033A"/>
    <w:rsid w:val="00FC08CB"/>
    <w:rsid w:val="00FC2320"/>
    <w:rsid w:val="00FC24A6"/>
    <w:rsid w:val="00FC2668"/>
    <w:rsid w:val="00FC3DB8"/>
    <w:rsid w:val="00FC454A"/>
    <w:rsid w:val="00FC52E0"/>
    <w:rsid w:val="00FC554F"/>
    <w:rsid w:val="00FC66D3"/>
    <w:rsid w:val="00FC704F"/>
    <w:rsid w:val="00FC72E6"/>
    <w:rsid w:val="00FC737D"/>
    <w:rsid w:val="00FC783B"/>
    <w:rsid w:val="00FC79BA"/>
    <w:rsid w:val="00FC7D00"/>
    <w:rsid w:val="00FD102A"/>
    <w:rsid w:val="00FD1935"/>
    <w:rsid w:val="00FD1D9D"/>
    <w:rsid w:val="00FD2C7C"/>
    <w:rsid w:val="00FD4A27"/>
    <w:rsid w:val="00FD509E"/>
    <w:rsid w:val="00FD589B"/>
    <w:rsid w:val="00FD5E4A"/>
    <w:rsid w:val="00FD618D"/>
    <w:rsid w:val="00FD722C"/>
    <w:rsid w:val="00FD72DF"/>
    <w:rsid w:val="00FD784A"/>
    <w:rsid w:val="00FD7AE7"/>
    <w:rsid w:val="00FE05FA"/>
    <w:rsid w:val="00FE08E6"/>
    <w:rsid w:val="00FE0B01"/>
    <w:rsid w:val="00FE0BB8"/>
    <w:rsid w:val="00FE1535"/>
    <w:rsid w:val="00FE2327"/>
    <w:rsid w:val="00FE2D15"/>
    <w:rsid w:val="00FE3367"/>
    <w:rsid w:val="00FE3564"/>
    <w:rsid w:val="00FE684C"/>
    <w:rsid w:val="00FE798F"/>
    <w:rsid w:val="00FE7FCE"/>
    <w:rsid w:val="00FF02B3"/>
    <w:rsid w:val="00FF0405"/>
    <w:rsid w:val="00FF0A30"/>
    <w:rsid w:val="00FF0D17"/>
    <w:rsid w:val="00FF12C3"/>
    <w:rsid w:val="00FF2CBB"/>
    <w:rsid w:val="00FF36E9"/>
    <w:rsid w:val="00FF49B2"/>
    <w:rsid w:val="00FF4EBF"/>
    <w:rsid w:val="00FF59C9"/>
    <w:rsid w:val="00FF669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1FE75-1105-45E7-9294-EA07F05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60CDF"/>
    <w:pPr>
      <w:ind w:left="720"/>
      <w:contextualSpacing/>
    </w:pPr>
  </w:style>
  <w:style w:type="paragraph" w:styleId="af9">
    <w:name w:val="No Spacing"/>
    <w:aliases w:val="с интервалом"/>
    <w:uiPriority w:val="1"/>
    <w:qFormat/>
    <w:rsid w:val="00B015CA"/>
    <w:pPr>
      <w:spacing w:before="120"/>
      <w:ind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F51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E3502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5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6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3168-668D-4FBF-92DD-1AD33760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36476</TotalTime>
  <Pages>14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39586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simutin</cp:lastModifiedBy>
  <cp:revision>461</cp:revision>
  <cp:lastPrinted>2020-04-30T05:38:00Z</cp:lastPrinted>
  <dcterms:created xsi:type="dcterms:W3CDTF">2018-04-06T02:55:00Z</dcterms:created>
  <dcterms:modified xsi:type="dcterms:W3CDTF">2020-04-30T05:41:00Z</dcterms:modified>
</cp:coreProperties>
</file>