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4D" w:rsidRPr="00FB3156" w:rsidRDefault="00E5264D" w:rsidP="00E5264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156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FB3156" w:rsidRPr="00FB3156">
        <w:rPr>
          <w:rFonts w:ascii="Times New Roman" w:hAnsi="Times New Roman" w:cs="Times New Roman"/>
          <w:b/>
          <w:sz w:val="32"/>
          <w:szCs w:val="32"/>
        </w:rPr>
        <w:t xml:space="preserve"> Контрольно-Счетной палаты Таймыра по результатам </w:t>
      </w:r>
      <w:r w:rsidR="00FB3156">
        <w:rPr>
          <w:rFonts w:ascii="Times New Roman" w:hAnsi="Times New Roman" w:cs="Times New Roman"/>
          <w:b/>
          <w:sz w:val="32"/>
          <w:szCs w:val="32"/>
        </w:rPr>
        <w:t>рассмотрения</w:t>
      </w:r>
      <w:r w:rsidR="00FB3156" w:rsidRPr="00FB3156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FB3156">
        <w:rPr>
          <w:rFonts w:ascii="Times New Roman" w:hAnsi="Times New Roman" w:cs="Times New Roman"/>
          <w:b/>
          <w:sz w:val="32"/>
          <w:szCs w:val="32"/>
        </w:rPr>
        <w:t>а</w:t>
      </w:r>
      <w:r w:rsidR="00FB3156" w:rsidRPr="00FB3156">
        <w:rPr>
          <w:rFonts w:ascii="Times New Roman" w:hAnsi="Times New Roman" w:cs="Times New Roman"/>
          <w:b/>
          <w:sz w:val="32"/>
          <w:szCs w:val="32"/>
        </w:rPr>
        <w:t xml:space="preserve"> районного бюджета на 2020 год и плановый период 2021-2022 годов</w:t>
      </w:r>
      <w:r w:rsidR="00FB3156">
        <w:rPr>
          <w:rFonts w:ascii="Times New Roman" w:hAnsi="Times New Roman" w:cs="Times New Roman"/>
          <w:b/>
          <w:sz w:val="32"/>
          <w:szCs w:val="32"/>
        </w:rPr>
        <w:t>.</w:t>
      </w:r>
    </w:p>
    <w:p w:rsidR="00E5264D" w:rsidRPr="00FB3156" w:rsidRDefault="00E5264D" w:rsidP="00E5264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64D" w:rsidRDefault="00E5264D" w:rsidP="00E5264D">
      <w:pPr>
        <w:pStyle w:val="HeadDoc"/>
        <w:keepLines w:val="0"/>
        <w:widowControl w:val="0"/>
        <w:suppressAutoHyphens/>
        <w:spacing w:line="276" w:lineRule="auto"/>
        <w:ind w:firstLine="709"/>
        <w:rPr>
          <w:sz w:val="18"/>
          <w:szCs w:val="18"/>
        </w:rPr>
      </w:pPr>
      <w:proofErr w:type="gramStart"/>
      <w:r w:rsidRPr="008C45CC">
        <w:rPr>
          <w:sz w:val="32"/>
          <w:szCs w:val="32"/>
        </w:rPr>
        <w:t>В ходе подготовки Заключения на проект районного бюджета на 2020 год и плановый период 2021-2022 годов Контрольно-Счетной палатой проведена оценка проекта бюджета как инструмента социально-экономической политики Таймырского Долгано-Ненецкого муниципального района, его соответствие положениям программных документов, проведен анализ основных направлений бюджетной и налоговой политики муниципального района на 2020 год и на плановый период 2021-2022 годов, проверено наличие и оценено состояние нормативной</w:t>
      </w:r>
      <w:proofErr w:type="gramEnd"/>
      <w:r w:rsidRPr="008C45CC">
        <w:rPr>
          <w:sz w:val="32"/>
          <w:szCs w:val="32"/>
        </w:rPr>
        <w:t xml:space="preserve"> и методической базы, регулирующей порядок формирования основных показателей районного бюджета, проанализированы показатели, формирующие основные источники доходов бюджета района, и основные направления расходов бюджета.</w:t>
      </w:r>
    </w:p>
    <w:p w:rsidR="00E5264D" w:rsidRPr="008C45CC" w:rsidRDefault="00E5264D" w:rsidP="00E5264D">
      <w:pPr>
        <w:pStyle w:val="HeadDoc"/>
        <w:keepLines w:val="0"/>
        <w:widowControl w:val="0"/>
        <w:suppressAutoHyphens/>
        <w:spacing w:line="276" w:lineRule="auto"/>
        <w:ind w:firstLine="709"/>
        <w:rPr>
          <w:sz w:val="18"/>
          <w:szCs w:val="18"/>
        </w:rPr>
      </w:pPr>
    </w:p>
    <w:p w:rsidR="00E5264D" w:rsidRDefault="00E5264D" w:rsidP="00E526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C45CC">
        <w:rPr>
          <w:rFonts w:ascii="Times New Roman" w:hAnsi="Times New Roman" w:cs="Times New Roman"/>
          <w:color w:val="000000"/>
          <w:sz w:val="32"/>
          <w:szCs w:val="32"/>
        </w:rPr>
        <w:t>При подготовке Заключения использованы результаты контрольных и экспертно-аналитических мероприятий, аналитических материалов, подготовленных по данным мониторинга, проведенного Контрольно-Счетной палатой в 2019 году.</w:t>
      </w:r>
    </w:p>
    <w:p w:rsidR="00E5264D" w:rsidRPr="008C45CC" w:rsidRDefault="00E5264D" w:rsidP="00E526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264D" w:rsidRDefault="00E5264D" w:rsidP="00E5264D">
      <w:pPr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8C45CC">
        <w:rPr>
          <w:rFonts w:ascii="Times New Roman" w:eastAsia="TimesNewRomanPSMT" w:hAnsi="Times New Roman" w:cs="Times New Roman"/>
          <w:sz w:val="32"/>
          <w:szCs w:val="32"/>
        </w:rPr>
        <w:t>По итогам проведенного мероприятия КСП отме</w:t>
      </w:r>
      <w:r>
        <w:rPr>
          <w:rFonts w:ascii="Times New Roman" w:eastAsia="TimesNewRomanPSMT" w:hAnsi="Times New Roman" w:cs="Times New Roman"/>
          <w:sz w:val="32"/>
          <w:szCs w:val="32"/>
        </w:rPr>
        <w:t>тила, что п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роект решения о бюджете в целом отражает основные направления, приоритеты, цели и задачи социально-экономического развития муниципального района, обозначенные в Стратегии 2030. Вместе с тем, 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отдельные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мероприятия муниципальн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ых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программ не в должной мере интегрированы 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(не обозначены)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в приоритетны</w:t>
      </w:r>
      <w:r>
        <w:rPr>
          <w:rFonts w:ascii="Times New Roman" w:eastAsia="TimesNewRomanPSMT" w:hAnsi="Times New Roman" w:cs="Times New Roman"/>
          <w:sz w:val="32"/>
          <w:szCs w:val="32"/>
        </w:rPr>
        <w:t>х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 направления</w:t>
      </w:r>
      <w:r>
        <w:rPr>
          <w:rFonts w:ascii="Times New Roman" w:eastAsia="TimesNewRomanPSMT" w:hAnsi="Times New Roman" w:cs="Times New Roman"/>
          <w:sz w:val="32"/>
          <w:szCs w:val="32"/>
        </w:rPr>
        <w:t>х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 Стратегии</w:t>
      </w:r>
      <w:r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E5264D" w:rsidRDefault="00E5264D" w:rsidP="00E5264D">
      <w:pPr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 xml:space="preserve"> О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сновные характеристики проекта районного бюджета соответствуют установленным БК РФ принципам сбалансированности бюджета (ст. 33 БК РФ) и общего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lastRenderedPageBreak/>
        <w:t xml:space="preserve">(совокупного) покрытия расходов бюджетов (ст. 35 БК РФ). Объем дефицита бюджета предусмотренный проектом, соответствует ограничениям, установленным пунктом 3 ст. 92.1 БК РФ. </w:t>
      </w:r>
      <w:r w:rsidRPr="007E729B">
        <w:rPr>
          <w:rFonts w:ascii="Times New Roman" w:eastAsia="TimesNewRomanPSMT" w:hAnsi="Times New Roman" w:cs="Times New Roman"/>
          <w:sz w:val="32"/>
          <w:szCs w:val="32"/>
        </w:rPr>
        <w:t>Верхний предел муниципального долга по долговым обязательствам Таймырского Долгано-Ненецкого мун</w:t>
      </w:r>
      <w:r>
        <w:rPr>
          <w:rFonts w:ascii="Times New Roman" w:eastAsia="TimesNewRomanPSMT" w:hAnsi="Times New Roman" w:cs="Times New Roman"/>
          <w:sz w:val="32"/>
          <w:szCs w:val="32"/>
        </w:rPr>
        <w:t>иципального района составит 0</w:t>
      </w:r>
      <w:r w:rsidRPr="007E729B">
        <w:rPr>
          <w:rFonts w:ascii="Times New Roman" w:eastAsia="TimesNewRomanPSMT" w:hAnsi="Times New Roman" w:cs="Times New Roman"/>
          <w:sz w:val="32"/>
          <w:szCs w:val="32"/>
        </w:rPr>
        <w:t xml:space="preserve"> руб.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</w:p>
    <w:p w:rsidR="00E5264D" w:rsidRPr="00C05E63" w:rsidRDefault="00E5264D" w:rsidP="00E5264D">
      <w:pPr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C05E63">
        <w:rPr>
          <w:rFonts w:ascii="Times New Roman" w:eastAsia="TimesNewRomanPSMT" w:hAnsi="Times New Roman" w:cs="Times New Roman"/>
          <w:sz w:val="32"/>
          <w:szCs w:val="32"/>
        </w:rPr>
        <w:t>Проект районного бюджета сформирован в программной структуре расходов на основе 11 муниципальных программ (в 2019 году реализовывалось 10 муниципальных программ из 12 планируемых к реализации).</w:t>
      </w:r>
    </w:p>
    <w:p w:rsidR="00FB3156" w:rsidRDefault="00E5264D" w:rsidP="00FB315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proofErr w:type="gramStart"/>
      <w:r w:rsidRPr="00A70B57">
        <w:rPr>
          <w:rFonts w:ascii="Times New Roman" w:eastAsia="TimesNewRomanPSMT" w:hAnsi="Times New Roman" w:cs="Times New Roman"/>
          <w:sz w:val="32"/>
          <w:szCs w:val="32"/>
        </w:rPr>
        <w:t>Расходы на реализацию 11 муниципальных программ на 2020-2022 годы запланированы в объеме 18</w:t>
      </w:r>
      <w:r>
        <w:rPr>
          <w:rFonts w:ascii="Times New Roman" w:eastAsia="TimesNewRomanPSMT" w:hAnsi="Times New Roman" w:cs="Times New Roman"/>
          <w:sz w:val="32"/>
          <w:szCs w:val="32"/>
        </w:rPr>
        <w:t> 433 млн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>. руб.,</w:t>
      </w:r>
      <w:r w:rsidRPr="00C05E63">
        <w:rPr>
          <w:rFonts w:eastAsia="TimesNewRomanPSMT"/>
          <w:sz w:val="32"/>
          <w:szCs w:val="32"/>
        </w:rPr>
        <w:t xml:space="preserve">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в том числе:</w:t>
      </w:r>
      <w:r w:rsidRPr="00C05E63">
        <w:rPr>
          <w:rFonts w:eastAsia="TimesNewRomanPSMT"/>
          <w:sz w:val="32"/>
          <w:szCs w:val="32"/>
        </w:rPr>
        <w:t xml:space="preserve">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в 2020 году 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будут составлять 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– 76,47 % общего объема расходов или 6</w:t>
      </w:r>
      <w:r>
        <w:rPr>
          <w:rFonts w:ascii="Times New Roman" w:eastAsia="TimesNewRomanPSMT" w:hAnsi="Times New Roman" w:cs="Times New Roman"/>
          <w:sz w:val="32"/>
          <w:szCs w:val="32"/>
        </w:rPr>
        <w:t> 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425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млн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. руб., в 2021 году – 79,81 % объема расходов или 6</w:t>
      </w:r>
      <w:r>
        <w:rPr>
          <w:rFonts w:ascii="Times New Roman" w:eastAsia="TimesNewRomanPSMT" w:hAnsi="Times New Roman" w:cs="Times New Roman"/>
          <w:sz w:val="32"/>
          <w:szCs w:val="32"/>
        </w:rPr>
        <w:t> 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009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млн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. руб., в 2022 году – 80,16 % или 5</w:t>
      </w:r>
      <w:r>
        <w:rPr>
          <w:rFonts w:ascii="Times New Roman" w:eastAsia="TimesNewRomanPSMT" w:hAnsi="Times New Roman" w:cs="Times New Roman"/>
          <w:sz w:val="32"/>
          <w:szCs w:val="32"/>
        </w:rPr>
        <w:t> 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998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млн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. руб.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proofErr w:type="gramEnd"/>
    </w:p>
    <w:p w:rsidR="00FB3156" w:rsidRDefault="00FB3156" w:rsidP="00FB315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>Отмечено, что и</w:t>
      </w:r>
      <w:r w:rsidRPr="000518EE">
        <w:rPr>
          <w:rFonts w:ascii="Times New Roman" w:eastAsia="TimesNewRomanPSMT" w:hAnsi="Times New Roman" w:cs="Times New Roman"/>
          <w:sz w:val="32"/>
          <w:szCs w:val="32"/>
        </w:rPr>
        <w:t xml:space="preserve">спользуемый 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0518EE">
        <w:rPr>
          <w:rFonts w:ascii="Times New Roman" w:eastAsia="TimesNewRomanPSMT" w:hAnsi="Times New Roman" w:cs="Times New Roman"/>
          <w:sz w:val="32"/>
          <w:szCs w:val="32"/>
        </w:rPr>
        <w:t>Порядок оценки эффективности реализации муниципальных программ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требует корректировки</w:t>
      </w:r>
      <w:r w:rsidRPr="000518EE">
        <w:rPr>
          <w:rFonts w:ascii="Times New Roman" w:eastAsia="TimesNewRomanPSMT" w:hAnsi="Times New Roman" w:cs="Times New Roman"/>
          <w:sz w:val="32"/>
          <w:szCs w:val="32"/>
        </w:rPr>
        <w:t xml:space="preserve">, 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так как </w:t>
      </w:r>
      <w:r w:rsidRPr="000518EE">
        <w:rPr>
          <w:rFonts w:ascii="Times New Roman" w:eastAsia="TimesNewRomanPSMT" w:hAnsi="Times New Roman" w:cs="Times New Roman"/>
          <w:sz w:val="32"/>
          <w:szCs w:val="32"/>
        </w:rPr>
        <w:t>приводит к искажению реальной картины достигнутых показателей и ставит под сомнение результаты оценки муниципальных программ</w:t>
      </w:r>
      <w:r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E5264D" w:rsidRDefault="00E5264D" w:rsidP="00E526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05E63">
        <w:rPr>
          <w:rFonts w:ascii="Times New Roman" w:eastAsia="TimesNewRomanPSMT" w:hAnsi="Times New Roman" w:cs="Times New Roman"/>
          <w:sz w:val="32"/>
          <w:szCs w:val="32"/>
        </w:rPr>
        <w:t>А</w:t>
      </w:r>
      <w:r w:rsidRPr="00C05E63">
        <w:rPr>
          <w:rFonts w:ascii="Times New Roman" w:hAnsi="Times New Roman" w:cs="Times New Roman"/>
          <w:sz w:val="32"/>
          <w:szCs w:val="32"/>
        </w:rPr>
        <w:t xml:space="preserve">нализ доходной части районного бюджета на 2020 год и плановый период показал, что </w:t>
      </w:r>
      <w:r w:rsidRPr="00C05E63">
        <w:rPr>
          <w:rFonts w:ascii="Times New Roman" w:hAnsi="Times New Roman" w:cs="Times New Roman"/>
          <w:bCs/>
          <w:sz w:val="32"/>
          <w:szCs w:val="32"/>
        </w:rPr>
        <w:t>по сравнению с 2019 годом, структура доходной части районного бюджета существенно не изменилась и наблюдается устойчивый рост доли собственных доходов бюджета и снижение доли безвозмездных поступлений в общем объеме доходов бюджета в трехгодичном периоде.</w:t>
      </w:r>
    </w:p>
    <w:p w:rsidR="00E5264D" w:rsidRDefault="00E5264D" w:rsidP="00E5264D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proofErr w:type="gramStart"/>
      <w:r w:rsidRPr="00C05E63">
        <w:rPr>
          <w:rFonts w:ascii="Times New Roman" w:eastAsia="TimesNewRomanPSMT" w:hAnsi="Times New Roman" w:cs="Times New Roman"/>
          <w:sz w:val="32"/>
          <w:szCs w:val="32"/>
        </w:rPr>
        <w:t>Расходы районного бюджета на 2020-2022 годы сформированы в соответствии с утвержденными Приказом Финансового Управления от 13 февраля 2019 № 16-П порядком и методикой планирования бюджетных ассигнований, наличие которой предусмотрено статей 174.2 БК РФ.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 </w:t>
      </w:r>
      <w:proofErr w:type="gramEnd"/>
    </w:p>
    <w:p w:rsidR="00647452" w:rsidRDefault="00E5264D" w:rsidP="0064745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C05E63"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ополнительные расходы на 2020 год планируются в сумме 394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млн. руб., из которых 222 млн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. руб. составят дополнительные расходы по 8 главным распорядителям средств районного бюджета и 172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млн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. руб. – расходы на реализацию </w:t>
      </w:r>
      <w:proofErr w:type="gramStart"/>
      <w:r w:rsidRPr="00C05E63">
        <w:rPr>
          <w:rFonts w:ascii="Times New Roman" w:eastAsia="TimesNewRomanPSMT" w:hAnsi="Times New Roman" w:cs="Times New Roman"/>
          <w:sz w:val="32"/>
          <w:szCs w:val="32"/>
        </w:rPr>
        <w:t>полномочий органов местного самоуправления поселений муниципального района</w:t>
      </w:r>
      <w:proofErr w:type="gramEnd"/>
      <w:r w:rsidRPr="00C05E63"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E5264D" w:rsidRPr="00C05E63" w:rsidRDefault="00E5264D" w:rsidP="0064745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C05E63">
        <w:rPr>
          <w:rFonts w:ascii="Times New Roman" w:eastAsia="TimesNewRomanPSMT" w:hAnsi="Times New Roman" w:cs="Times New Roman"/>
          <w:sz w:val="32"/>
          <w:szCs w:val="32"/>
        </w:rPr>
        <w:t>Выборочный анализ расчетов и обоснований на дополнительный объем расходов, подготовленный ГРБС, установил отсутствие единообразного подхода по формированию обоснований и расчетов. Недостаточно ясен механизм определения приоритетности направления дополнительных расходов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 xml:space="preserve">. </w:t>
      </w:r>
    </w:p>
    <w:p w:rsidR="00E5264D" w:rsidRPr="00C05E63" w:rsidRDefault="00647452" w:rsidP="00E5264D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>В Заключении о</w:t>
      </w:r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>тмеч</w:t>
      </w:r>
      <w:r>
        <w:rPr>
          <w:rFonts w:ascii="Times New Roman" w:eastAsia="TimesNewRomanPSMT" w:hAnsi="Times New Roman" w:cs="Times New Roman"/>
          <w:sz w:val="32"/>
          <w:szCs w:val="32"/>
        </w:rPr>
        <w:t>ено</w:t>
      </w:r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 xml:space="preserve">, что резервирование бюджетных средств по Финансовому управлению, а не планирование их по конкретным получателям с указанием цели их использования, не в полной мере соответствует принципу </w:t>
      </w:r>
      <w:proofErr w:type="spellStart"/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>адресности</w:t>
      </w:r>
      <w:proofErr w:type="spellEnd"/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 xml:space="preserve"> и целевого характера бюджетных средств, установленному статьей 38 БК РФ. </w:t>
      </w:r>
    </w:p>
    <w:p w:rsidR="00647452" w:rsidRDefault="00647452" w:rsidP="0064745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t>Такое</w:t>
      </w:r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 xml:space="preserve"> резервирование дополнительных средств 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на </w:t>
      </w:r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>осуществление бюджетных инвестиций в объекты муниципальной собственности ставит под сомнение реалистичность расчетов при планировании расходов бюджета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и</w:t>
      </w:r>
      <w:r w:rsidR="00E5264D" w:rsidRPr="00C05E63">
        <w:rPr>
          <w:rFonts w:ascii="Times New Roman" w:eastAsia="TimesNewRomanPSMT" w:hAnsi="Times New Roman" w:cs="Times New Roman"/>
          <w:sz w:val="32"/>
          <w:szCs w:val="32"/>
        </w:rPr>
        <w:t xml:space="preserve"> не соответствует требованиям статьи 37 БК РФ.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="00E5264D" w:rsidRPr="00A70B57">
        <w:rPr>
          <w:rFonts w:ascii="Times New Roman" w:eastAsia="TimesNewRomanPSMT" w:hAnsi="Times New Roman" w:cs="Times New Roman"/>
          <w:sz w:val="32"/>
          <w:szCs w:val="32"/>
        </w:rPr>
        <w:t>Методика распределения иных межбюджетных трансфертов, предоставляемых из районного бюджета бюджетам городских и сельских поселений района, содержит бланкетную норму относительно результатов конкурсного распределения бюджетных ассигнований на принимаемые обязательства и свидетельствует о неполноте административных процедур (отсутствие порядка совершения должностными лицами определенных действий).</w:t>
      </w:r>
    </w:p>
    <w:p w:rsidR="00647452" w:rsidRDefault="00E5264D" w:rsidP="0064745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Анализ нормативной правовой базы планирования бюджетных ассигнований показал, что отсутствие нормативно-правового закрепления единой системы обоснования расходов районного бюджета не </w:t>
      </w:r>
      <w:r>
        <w:rPr>
          <w:rFonts w:ascii="Times New Roman" w:eastAsia="TimesNewRomanPSMT" w:hAnsi="Times New Roman" w:cs="Times New Roman"/>
          <w:sz w:val="32"/>
          <w:szCs w:val="32"/>
        </w:rPr>
        <w:t>позволяе</w:t>
      </w:r>
      <w:r w:rsidRPr="00C05E63">
        <w:rPr>
          <w:rFonts w:ascii="Times New Roman" w:eastAsia="TimesNewRomanPSMT" w:hAnsi="Times New Roman" w:cs="Times New Roman"/>
          <w:sz w:val="32"/>
          <w:szCs w:val="32"/>
        </w:rPr>
        <w:t>т обеспечить в полной мере прозрачность и открытость бюджетного планирования.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>
        <w:rPr>
          <w:rFonts w:ascii="Times New Roman" w:eastAsia="TimesNewRomanPSMT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11.65pt;margin-top:136.75pt;width:19.3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">
            <v:stroke endarrow="block"/>
          </v:shape>
        </w:pic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Контрольно-Счетн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>ой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палат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>ой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отмеч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>ен также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недостаточны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>й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уровень 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 xml:space="preserve">развития  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механизма обратной связи, сложившейся между 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lastRenderedPageBreak/>
        <w:t>Финансовым управлением и главными администраторами бюджетных сре</w:t>
      </w:r>
      <w:proofErr w:type="gramStart"/>
      <w:r w:rsidRPr="00A70B57">
        <w:rPr>
          <w:rFonts w:ascii="Times New Roman" w:eastAsia="TimesNewRomanPSMT" w:hAnsi="Times New Roman" w:cs="Times New Roman"/>
          <w:sz w:val="32"/>
          <w:szCs w:val="32"/>
        </w:rPr>
        <w:t>дств в пр</w:t>
      </w:r>
      <w:proofErr w:type="gramEnd"/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оцессе формирования проекта районного бюджета. </w:t>
      </w:r>
    </w:p>
    <w:p w:rsidR="00647452" w:rsidRDefault="00E5264D" w:rsidP="00647452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C05E63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>В соответствии с проектом решения районного бюджета, объем контрактуемых расходов в 2020 году составит 1</w:t>
      </w:r>
      <w:r>
        <w:rPr>
          <w:rFonts w:ascii="Times New Roman" w:eastAsia="TimesNewRomanPSMT" w:hAnsi="Times New Roman" w:cs="Times New Roman"/>
          <w:sz w:val="32"/>
          <w:szCs w:val="32"/>
        </w:rPr>
        <w:t> 521 млн. руб.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>, или 18,10% от общего объема расходов районно</w:t>
      </w:r>
      <w:r>
        <w:rPr>
          <w:rFonts w:ascii="Times New Roman" w:eastAsia="TimesNewRomanPSMT" w:hAnsi="Times New Roman" w:cs="Times New Roman"/>
          <w:sz w:val="32"/>
          <w:szCs w:val="32"/>
        </w:rPr>
        <w:t>го бюджета, в 2021 году – 1 225 млн. руб.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(16,0</w:t>
      </w:r>
      <w:r>
        <w:rPr>
          <w:rFonts w:ascii="Times New Roman" w:eastAsia="TimesNewRomanPSMT" w:hAnsi="Times New Roman" w:cs="Times New Roman"/>
          <w:sz w:val="32"/>
          <w:szCs w:val="32"/>
        </w:rPr>
        <w:t>6%), в 2022 году – 1 219 млн. руб.</w:t>
      </w:r>
      <w:r w:rsidRPr="00A70B57">
        <w:rPr>
          <w:rFonts w:ascii="Times New Roman" w:eastAsia="TimesNewRomanPSMT" w:hAnsi="Times New Roman" w:cs="Times New Roman"/>
          <w:sz w:val="32"/>
          <w:szCs w:val="32"/>
        </w:rPr>
        <w:t xml:space="preserve"> (15,87%).</w:t>
      </w:r>
      <w:r w:rsidR="00647452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</w:p>
    <w:p w:rsidR="00E5264D" w:rsidRPr="000518EE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518EE">
        <w:rPr>
          <w:rFonts w:ascii="Times New Roman" w:eastAsia="TimesNewRomanPSMT" w:hAnsi="Times New Roman" w:cs="Times New Roman"/>
          <w:sz w:val="32"/>
          <w:szCs w:val="32"/>
        </w:rPr>
        <w:t>Предельный объем расходов на обслуживание муниципального долга планируется на 2020-2022 годы в сумме 50,00 тыс. руб. ежегодно и не превышает ограничения, установленные статьей 111 БК РФ.</w:t>
      </w:r>
    </w:p>
    <w:p w:rsidR="00E5264D" w:rsidRPr="000518EE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E5264D" w:rsidRPr="000518EE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proofErr w:type="gramStart"/>
      <w:r w:rsidRPr="000518EE">
        <w:rPr>
          <w:rFonts w:ascii="Times New Roman" w:eastAsia="TimesNewRomanPSMT" w:hAnsi="Times New Roman" w:cs="Times New Roman"/>
          <w:sz w:val="32"/>
          <w:szCs w:val="32"/>
        </w:rPr>
        <w:t>Результаты анализа финансового состояния районного бюджета показали, что проект районного бюджета в 2020 году будет реализовываться в ситуации близкой к оптимальному состоянию бюджетной устойчивости, с учетом финансовых поступлений из краевого бюджета, в том числе на реализацию региональной политики не территории муниципального района при условии координированной работы органов местного самоуправления с органами государственной власти Красноярского края.</w:t>
      </w:r>
      <w:proofErr w:type="gramEnd"/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По результатам экспертизы проекта решения о районном бюджете на 2020 год и плановый период 2021-2022 годов, в том числе проверка обоснованности показателей (параметров и характеристик) районного бюджета, Контрольно-Счетной палатой сформулированы следующие предложения.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b/>
          <w:sz w:val="32"/>
          <w:szCs w:val="32"/>
        </w:rPr>
        <w:t>Таймырскому Совету депутатов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highlight w:val="yellow"/>
        </w:rPr>
      </w:pP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Рассмотреть проект решения Таймырского Долгано-Ненецкого районного Совета депутатов «О районном бюджете на 2020 год и плановый период 2021-2022 годов» с учетом замечаний, изложенных в настоящем Заключения.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highlight w:val="yellow"/>
        </w:rPr>
      </w:pP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b/>
          <w:sz w:val="32"/>
          <w:szCs w:val="32"/>
        </w:rPr>
        <w:lastRenderedPageBreak/>
        <w:t>Администрации муниципального района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highlight w:val="yellow"/>
        </w:rPr>
      </w:pPr>
    </w:p>
    <w:p w:rsidR="00E5264D" w:rsidRPr="00040673" w:rsidRDefault="00E5264D" w:rsidP="00E5264D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10"/>
        <w:contextualSpacing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Разработать и принять муниципальный правовой акт: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- устанавливающий порядок формирования и предоставления главными распорядителями средств районного бюджета обоснований бюджетных ассигнований по расходам районного бюджета;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 xml:space="preserve">- </w:t>
      </w:r>
      <w:r w:rsidRPr="0004067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регламентирующий порядок проведения обзоров расходов районного бюджета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t>;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- устанавливающий Порядок формирования перечня налоговых расходов и оценки налоговых расходов муниципального района.</w:t>
      </w:r>
    </w:p>
    <w:p w:rsidR="00E5264D" w:rsidRPr="00040673" w:rsidRDefault="00E5264D" w:rsidP="00E526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2.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tab/>
      </w:r>
      <w:r w:rsidRPr="0004067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Провести работу по совершенствованию Порядка оценки эффективности муниципальных программ, утвержденного Постановлением № 608, в части механизма их оценки, исключив построение результатов на алгоритме оценки показателей, искажающем фактические результаты реализации муниципальных программ.</w:t>
      </w:r>
    </w:p>
    <w:p w:rsidR="00E5264D" w:rsidRPr="00040673" w:rsidRDefault="00E5264D" w:rsidP="00E5264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Координировать работу заинтересованных сторон (участников бюджетного процесса) по 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t>внесению изменений в Решение Таймырского Долгано-Ненецкого районного Совета депутатов от 20.06.2011 № 09-0189 «Об утверждении Положения о бюджетном процессе в Таймырском Долгано-Ненецком муниципальном районе».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b/>
          <w:sz w:val="32"/>
          <w:szCs w:val="32"/>
        </w:rPr>
        <w:t>Финансовому управлению Администрации муниципального района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1.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tab/>
        <w:t xml:space="preserve">Внести на рассмотрение Администрации муниципального района предложение по исключению из Методики распределения иных межбюджетных трансфертов, предоставляемых из районного бюджета бюджетам городских и сельских поселений района, утвержденную Постановлением Администрации муниципального района от 12.02.2016 № 67 бланкетную норму относительно результатов конкурсного 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lastRenderedPageBreak/>
        <w:t>распределения бюджетных ассигнований на принимаемые обязательства.</w:t>
      </w:r>
    </w:p>
    <w:p w:rsidR="00E5264D" w:rsidRPr="00040673" w:rsidRDefault="00E5264D" w:rsidP="00E526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2.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tab/>
      </w:r>
      <w:r w:rsidRPr="000406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Провести работу по </w:t>
      </w:r>
      <w:r w:rsidRPr="0004067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механизма обратной связи между Финансовым управлением и участниками бюджетного процесса при формировании проекта районного бюджета.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3.</w:t>
      </w:r>
      <w:r w:rsidRPr="00040673">
        <w:rPr>
          <w:rFonts w:ascii="Times New Roman" w:eastAsia="TimesNewRomanPSMT" w:hAnsi="Times New Roman" w:cs="Times New Roman"/>
          <w:sz w:val="32"/>
          <w:szCs w:val="32"/>
        </w:rPr>
        <w:tab/>
        <w:t>Обеспечить размещение всех принятых муниципальных правовых актов на официальном сайте муниципального района https://www.taimyr24.ru в разделе «Бюджет для граждан» в подразделе «Иная информация в области налоговой и бюджетной политики, реализации бюджетного процесса муниципального района» в целях реализации принципа прозрачности (открытости) бюджета, установленного статьей 36 Бюджетного кодекса Российской Федерации.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</w:p>
    <w:p w:rsidR="00E5264D" w:rsidRPr="00040673" w:rsidRDefault="00E5264D" w:rsidP="00E5264D">
      <w:pPr>
        <w:widowControl w:val="0"/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Главным администраторам доходов районного бюджета</w:t>
      </w:r>
    </w:p>
    <w:p w:rsidR="00E5264D" w:rsidRPr="00040673" w:rsidRDefault="00E5264D" w:rsidP="00E52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E5264D" w:rsidRPr="00040673" w:rsidRDefault="00E5264D" w:rsidP="00E5264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1. Привести методики прогнозирования поступления доходов в районный бюджет в соответствие с общими требованиями постановления Правительства РФ № 574.</w:t>
      </w:r>
    </w:p>
    <w:p w:rsidR="00E5264D" w:rsidRPr="00A70B57" w:rsidRDefault="00E5264D" w:rsidP="00E5264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0673">
        <w:rPr>
          <w:rFonts w:ascii="Times New Roman" w:eastAsia="TimesNewRomanPSMT" w:hAnsi="Times New Roman" w:cs="Times New Roman"/>
          <w:sz w:val="32"/>
          <w:szCs w:val="32"/>
        </w:rPr>
        <w:t>2. Обеспечить размещение методик прогнозирования доходов в информационно-правовых системах и/или сети Интернет.</w:t>
      </w:r>
      <w:bookmarkStart w:id="0" w:name="_GoBack"/>
      <w:bookmarkEnd w:id="0"/>
    </w:p>
    <w:p w:rsidR="00C80C90" w:rsidRDefault="00C80C90"/>
    <w:sectPr w:rsidR="00C80C90" w:rsidSect="003D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4B4998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NewRomanPSMT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F57DC3"/>
    <w:multiLevelType w:val="hybridMultilevel"/>
    <w:tmpl w:val="AAC01970"/>
    <w:lvl w:ilvl="0" w:tplc="123E57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C72D54"/>
    <w:multiLevelType w:val="hybridMultilevel"/>
    <w:tmpl w:val="8146022C"/>
    <w:lvl w:ilvl="0" w:tplc="B6FA3542">
      <w:start w:val="10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78"/>
    <w:rsid w:val="00035D26"/>
    <w:rsid w:val="0020591F"/>
    <w:rsid w:val="00264973"/>
    <w:rsid w:val="0031514D"/>
    <w:rsid w:val="00321F07"/>
    <w:rsid w:val="003650B1"/>
    <w:rsid w:val="003D7402"/>
    <w:rsid w:val="003E67BE"/>
    <w:rsid w:val="00441994"/>
    <w:rsid w:val="004C7FEB"/>
    <w:rsid w:val="004F4BC3"/>
    <w:rsid w:val="00647452"/>
    <w:rsid w:val="00764FBC"/>
    <w:rsid w:val="00C74A78"/>
    <w:rsid w:val="00C80C90"/>
    <w:rsid w:val="00E2129C"/>
    <w:rsid w:val="00E5264D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rsid w:val="00E5264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26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yaroshuk</dc:creator>
  <cp:lastModifiedBy>yaroshuk</cp:lastModifiedBy>
  <cp:revision>2</cp:revision>
  <dcterms:created xsi:type="dcterms:W3CDTF">2019-11-25T04:56:00Z</dcterms:created>
  <dcterms:modified xsi:type="dcterms:W3CDTF">2019-11-25T04:56:00Z</dcterms:modified>
</cp:coreProperties>
</file>