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/>
          <w:bCs/>
          <w:lang w:eastAsia="ru-RU"/>
        </w:rPr>
      </w:pP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/>
          <w:bCs/>
          <w:lang w:eastAsia="ru-RU"/>
        </w:rPr>
      </w:pP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/>
          <w:bCs/>
          <w:lang w:eastAsia="ru-RU"/>
        </w:rPr>
      </w:pPr>
      <w:r w:rsidRPr="003D5527">
        <w:rPr>
          <w:rFonts w:eastAsia="Times New Roman"/>
          <w:b/>
          <w:bCs/>
          <w:lang w:eastAsia="ru-RU"/>
        </w:rPr>
        <w:t>Уголовная и административная ответственность за экстремистскую деятельность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/>
          <w:bCs/>
          <w:lang w:eastAsia="ru-RU"/>
        </w:rPr>
      </w:pP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Экстремизм можно определить, как приверженность лиц или групп лиц к крайним, радикальным взглядам, которые касаются общественной жизни (чаще её политической сферы).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Примерами экстремизма служат насильственное изменение основ конституционного строя и нарушение целостности России, публичное оправдание террористических действий, возбуждение розни социального, расового, национального или религиозного характера и другая деятельность, которая угрожает безопасности общества, а также нарушает права и свободы многих граждан, имея под собой для этого четкое идеологическое основание.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Борьба с экстремизмом регулируется Федеральным законом «О противодействии экстремистской деятельности» №114-ФЗ от 25.07.2002 и ведется в двух направлениях: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– проведение профилактических мер, предупреждающих экстремистскую деятельность;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– выявление, предупреждение и пресечение экстремизма, исходящего от физических и юридических лиц.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Экстремизм включает в себя деятельность, которая не является насильственной, но все равно грубо нарушает права и свободы граждан, имея под этим идеологическую подоплёку (например, публичное заведомо ложное обвинение лица, замещающего государственную должность). И терроризм, и экстремизм предполагают приверженность к радикальным воззрениям и угрожающим насилием или применяющим его практикам, дискриминирующим других людей по каким-либо признакам и негативно влияющим на общество.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Экстремизм направлен, в первую очередь, на негативные преобразования политического пространства (человеческие жертвы здесь необязательны), в то время как терроризм ставит своей целью дестабилизацию состояния общества в целом. Экстремизм является разрушительной общественной силой, негативно влияющей на сознание своих приверженцев и мешающими ходу обычной жизнедеятельности остальных людей.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Преступлениями экстремистского характера являются: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1) статья 280 УК РФ — публичные призывы к осуществлению экстремистской деятельности;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2) статья 282 УК РФ — возбуждение ненависти либо вражды, а равно унижение человеческого достоинства;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3) статья 282.1 УК РФ — организация экстремистского сообщества;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4) статья 282.2 УК РФ — организация деятельности экстремистской организации.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lastRenderedPageBreak/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Это статья 20.3 — пропаганда и публичное демонстрирование нацистской атрибутики или символики, статья 20.29  —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3D5527" w:rsidRPr="003D5527" w:rsidRDefault="003D5527" w:rsidP="003D5527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3D5527">
        <w:rPr>
          <w:rFonts w:eastAsia="Times New Roman"/>
          <w:bCs/>
          <w:lang w:eastAsia="ru-RU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</w:t>
      </w:r>
    </w:p>
    <w:p w:rsidR="006E6D1B" w:rsidRPr="003D5527" w:rsidRDefault="003D5527" w:rsidP="003D5527">
      <w:pPr>
        <w:spacing w:line="240" w:lineRule="auto"/>
        <w:ind w:firstLine="709"/>
        <w:contextualSpacing/>
        <w:jc w:val="both"/>
      </w:pPr>
      <w:r w:rsidRPr="003D5527">
        <w:rPr>
          <w:rFonts w:eastAsia="Times New Roman"/>
          <w:bCs/>
          <w:lang w:eastAsia="ru-RU"/>
        </w:rPr>
        <w:t>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</w:t>
      </w:r>
      <w:r w:rsidR="00CC6B8D">
        <w:rPr>
          <w:rFonts w:eastAsia="Times New Roman"/>
          <w:bCs/>
          <w:lang w:eastAsia="ru-RU"/>
        </w:rPr>
        <w:t>.</w:t>
      </w:r>
    </w:p>
    <w:p w:rsidR="00D216BB" w:rsidRDefault="00D216BB" w:rsidP="00B24755">
      <w:pPr>
        <w:spacing w:line="240" w:lineRule="auto"/>
        <w:contextualSpacing/>
        <w:jc w:val="both"/>
      </w:pPr>
    </w:p>
    <w:p w:rsidR="005754E1" w:rsidRDefault="005754E1" w:rsidP="00B24755">
      <w:pPr>
        <w:spacing w:line="240" w:lineRule="auto"/>
        <w:contextualSpacing/>
        <w:jc w:val="both"/>
      </w:pPr>
    </w:p>
    <w:p w:rsidR="00927357" w:rsidRDefault="003D5527" w:rsidP="00B24755">
      <w:pPr>
        <w:spacing w:line="240" w:lineRule="exact"/>
        <w:contextualSpacing/>
        <w:jc w:val="both"/>
      </w:pPr>
      <w:r>
        <w:t>П</w:t>
      </w:r>
      <w:r w:rsidR="00927357">
        <w:t>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3D5527" w:rsidP="00B24755">
      <w:pPr>
        <w:spacing w:line="240" w:lineRule="exact"/>
        <w:contextualSpacing/>
        <w:jc w:val="both"/>
      </w:pPr>
      <w:r>
        <w:t>юрист 2 класса</w:t>
      </w:r>
      <w:r w:rsidR="000F1EC6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 w:rsidR="00110487">
        <w:tab/>
      </w:r>
      <w:r w:rsidR="00110487">
        <w:tab/>
        <w:t xml:space="preserve">    </w:t>
      </w:r>
      <w:r>
        <w:t xml:space="preserve">                    А.И. Гребенюк</w:t>
      </w:r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6D" w:rsidRDefault="004E656D" w:rsidP="00A6517E">
      <w:pPr>
        <w:spacing w:after="0" w:line="240" w:lineRule="auto"/>
      </w:pPr>
      <w:r>
        <w:separator/>
      </w:r>
    </w:p>
  </w:endnote>
  <w:endnote w:type="continuationSeparator" w:id="0">
    <w:p w:rsidR="004E656D" w:rsidRDefault="004E656D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6D" w:rsidRDefault="004E656D" w:rsidP="00A6517E">
      <w:pPr>
        <w:spacing w:after="0" w:line="240" w:lineRule="auto"/>
      </w:pPr>
      <w:r>
        <w:separator/>
      </w:r>
    </w:p>
  </w:footnote>
  <w:footnote w:type="continuationSeparator" w:id="0">
    <w:p w:rsidR="004E656D" w:rsidRDefault="004E656D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B55961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CC6B8D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236"/>
    <w:multiLevelType w:val="multilevel"/>
    <w:tmpl w:val="C62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0B83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42D0"/>
    <w:rsid w:val="003C72B6"/>
    <w:rsid w:val="003D0A4C"/>
    <w:rsid w:val="003D4826"/>
    <w:rsid w:val="003D5527"/>
    <w:rsid w:val="003D7B04"/>
    <w:rsid w:val="003E1290"/>
    <w:rsid w:val="003E375A"/>
    <w:rsid w:val="003E3C57"/>
    <w:rsid w:val="003E6317"/>
    <w:rsid w:val="003F06F1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E656D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66B80"/>
    <w:rsid w:val="0057042E"/>
    <w:rsid w:val="0057493A"/>
    <w:rsid w:val="005754E1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E6D1B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A79AA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D7E1F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004B"/>
    <w:rsid w:val="00921CC8"/>
    <w:rsid w:val="00923529"/>
    <w:rsid w:val="009264B7"/>
    <w:rsid w:val="0092735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09C6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393E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5961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01E3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1926"/>
    <w:rsid w:val="00CC6141"/>
    <w:rsid w:val="00CC6B8D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16BB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03A"/>
    <w:rsid w:val="00F00DA3"/>
    <w:rsid w:val="00F07F64"/>
    <w:rsid w:val="00F14B31"/>
    <w:rsid w:val="00F21E62"/>
    <w:rsid w:val="00F3115B"/>
    <w:rsid w:val="00F3299C"/>
    <w:rsid w:val="00F3791E"/>
    <w:rsid w:val="00F37E62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  <w:style w:type="character" w:styleId="ab">
    <w:name w:val="Emphasis"/>
    <w:basedOn w:val="a0"/>
    <w:uiPriority w:val="20"/>
    <w:qFormat/>
    <w:rsid w:val="00921C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2024-05-21T14:35:00Z</cp:lastPrinted>
  <dcterms:created xsi:type="dcterms:W3CDTF">2024-06-19T02:48:00Z</dcterms:created>
  <dcterms:modified xsi:type="dcterms:W3CDTF">2024-06-19T02:49:00Z</dcterms:modified>
</cp:coreProperties>
</file>