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5248"/>
      </w:tblGrid>
      <w:tr w:rsidR="00187F40" w14:paraId="40CE8C2A" w14:textId="77777777" w:rsidTr="00C04369">
        <w:trPr>
          <w:trHeight w:val="333"/>
        </w:trPr>
        <w:tc>
          <w:tcPr>
            <w:tcW w:w="491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5D37" w14:textId="77777777" w:rsidR="00187F40" w:rsidRDefault="00187F40" w:rsidP="00C04369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04B6" w14:textId="77777777" w:rsidR="00187F40" w:rsidRDefault="00187F40" w:rsidP="00C04369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87F40" w14:paraId="1B72949C" w14:textId="77777777" w:rsidTr="00C04369">
        <w:trPr>
          <w:trHeight w:val="278"/>
        </w:trPr>
        <w:tc>
          <w:tcPr>
            <w:tcW w:w="101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FD20" w14:textId="77777777" w:rsidR="00187F40" w:rsidRDefault="00187F40" w:rsidP="00C04369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(первый (итоговый)</w:t>
            </w:r>
          </w:p>
        </w:tc>
      </w:tr>
    </w:tbl>
    <w:p w14:paraId="15BBF24D" w14:textId="77777777" w:rsidR="00187F40" w:rsidRDefault="00187F40" w:rsidP="00187F40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кандидата/</w:t>
      </w:r>
    </w:p>
    <w:p w14:paraId="664B2E57" w14:textId="77777777" w:rsidR="00187F40" w:rsidRDefault="00187F40" w:rsidP="00187F40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7"/>
      </w:tblGrid>
      <w:tr w:rsidR="00187F40" w14:paraId="72117B1B" w14:textId="77777777" w:rsidTr="00C04369">
        <w:trPr>
          <w:trHeight w:val="299"/>
        </w:trPr>
        <w:tc>
          <w:tcPr>
            <w:tcW w:w="100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</w:tcPr>
          <w:p w14:paraId="6D3DAC8C" w14:textId="77777777" w:rsidR="00187F40" w:rsidRDefault="00187F40" w:rsidP="00C04369">
            <w:pPr>
              <w:pStyle w:val="1"/>
              <w:spacing w:before="0" w:after="0"/>
              <w:rPr>
                <w:bCs w:val="0"/>
                <w:color w:val="00000A"/>
                <w:sz w:val="20"/>
                <w:szCs w:val="20"/>
              </w:rPr>
            </w:pPr>
            <w:r>
              <w:rPr>
                <w:bCs w:val="0"/>
                <w:color w:val="00000A"/>
                <w:sz w:val="20"/>
                <w:szCs w:val="20"/>
              </w:rPr>
              <w:t>Выборы депутатов Дудинского городского Совета депутатов пятого созыва</w:t>
            </w:r>
          </w:p>
        </w:tc>
      </w:tr>
      <w:tr w:rsidR="00187F40" w14:paraId="323F0E7B" w14:textId="77777777" w:rsidTr="00C04369">
        <w:trPr>
          <w:trHeight w:val="282"/>
        </w:trPr>
        <w:tc>
          <w:tcPr>
            <w:tcW w:w="100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</w:tcPr>
          <w:p w14:paraId="23ACAB94" w14:textId="77777777" w:rsidR="00187F40" w:rsidRDefault="00187F40" w:rsidP="00C04369">
            <w:pPr>
              <w:pStyle w:val="1"/>
              <w:spacing w:before="0" w:after="0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187F40" w14:paraId="08FE1AC8" w14:textId="77777777" w:rsidTr="00C04369">
        <w:trPr>
          <w:trHeight w:val="325"/>
        </w:trPr>
        <w:tc>
          <w:tcPr>
            <w:tcW w:w="100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</w:tcPr>
          <w:p w14:paraId="381B43A0" w14:textId="77777777" w:rsidR="00187F40" w:rsidRDefault="00187F40" w:rsidP="00C04369">
            <w:pPr>
              <w:pStyle w:val="1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Гаранина Светлана Евгеньевна, Дудинский одномандатный избирательный округ № 6</w:t>
            </w:r>
          </w:p>
        </w:tc>
      </w:tr>
      <w:tr w:rsidR="00187F40" w14:paraId="60FC4B6C" w14:textId="77777777" w:rsidTr="00C04369">
        <w:trPr>
          <w:trHeight w:val="321"/>
        </w:trPr>
        <w:tc>
          <w:tcPr>
            <w:tcW w:w="10077" w:type="dxa"/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</w:tcPr>
          <w:p w14:paraId="17563357" w14:textId="77777777" w:rsidR="00187F40" w:rsidRDefault="00187F40" w:rsidP="00C0436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87F40" w14:paraId="2CD0ABE2" w14:textId="77777777" w:rsidTr="00C04369">
        <w:trPr>
          <w:trHeight w:val="309"/>
        </w:trPr>
        <w:tc>
          <w:tcPr>
            <w:tcW w:w="100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</w:tcPr>
          <w:p w14:paraId="49E65EA0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№ 4081081081009000602, д</w:t>
            </w:r>
            <w:r>
              <w:rPr>
                <w:b/>
              </w:rPr>
              <w:t>ополнительный офис № 8646/0621 Красноярского отделения № 8646</w:t>
            </w:r>
          </w:p>
          <w:p w14:paraId="25C90BA6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ПАО Сбербанк, г. Дудинка, ул. Островского, 5а, 65</w:t>
            </w:r>
          </w:p>
        </w:tc>
      </w:tr>
      <w:tr w:rsidR="00187F40" w14:paraId="3B520547" w14:textId="77777777" w:rsidTr="00C04369">
        <w:trPr>
          <w:trHeight w:val="218"/>
        </w:trPr>
        <w:tc>
          <w:tcPr>
            <w:tcW w:w="10077" w:type="dxa"/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</w:tcPr>
          <w:p w14:paraId="5C5EC901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rPr>
                <w:sz w:val="18"/>
                <w:szCs w:val="18"/>
              </w:rPr>
              <w:t>номер специального избирательного счета, наименование и адрес кредитной организации)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5"/>
              </w:rPr>
              <w:footnoteReference w:id="1"/>
            </w:r>
          </w:p>
        </w:tc>
      </w:tr>
    </w:tbl>
    <w:p w14:paraId="54A14D6F" w14:textId="77777777" w:rsidR="00187F40" w:rsidRDefault="00187F40" w:rsidP="00187F40">
      <w:pPr>
        <w:pStyle w:val="Standard"/>
        <w:spacing w:after="0"/>
        <w:ind w:firstLine="851"/>
        <w:jc w:val="right"/>
      </w:pPr>
      <w:r>
        <w:t xml:space="preserve">По состоянию на </w:t>
      </w:r>
      <w:r>
        <w:rPr>
          <w:b/>
        </w:rPr>
        <w:t xml:space="preserve">«29» сентября </w:t>
      </w:r>
      <w:r>
        <w:rPr>
          <w:b/>
          <w:bCs/>
        </w:rPr>
        <w:t>2023 года</w:t>
      </w:r>
    </w:p>
    <w:tbl>
      <w:tblPr>
        <w:tblW w:w="10200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6604"/>
        <w:gridCol w:w="1030"/>
        <w:gridCol w:w="1569"/>
      </w:tblGrid>
      <w:tr w:rsidR="00187F40" w14:paraId="09DB390E" w14:textId="77777777" w:rsidTr="00C04369">
        <w:trPr>
          <w:cantSplit/>
          <w:trHeight w:val="24"/>
        </w:trPr>
        <w:tc>
          <w:tcPr>
            <w:tcW w:w="7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47098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045D1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35185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</w:tr>
      <w:tr w:rsidR="00187F40" w14:paraId="30598B8B" w14:textId="77777777" w:rsidTr="00C04369">
        <w:trPr>
          <w:cantSplit/>
          <w:trHeight w:val="23"/>
        </w:trPr>
        <w:tc>
          <w:tcPr>
            <w:tcW w:w="7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88A7B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55398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4CFED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</w:t>
            </w:r>
          </w:p>
        </w:tc>
      </w:tr>
      <w:tr w:rsidR="00187F40" w14:paraId="6B5AFBD1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B222B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AC12F" w14:textId="77777777" w:rsidR="00187F40" w:rsidRDefault="00187F40" w:rsidP="00C04369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201C4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A7FF0" w14:textId="77777777" w:rsidR="00187F40" w:rsidRDefault="00187F40" w:rsidP="00C04369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39687,50</w:t>
            </w:r>
          </w:p>
        </w:tc>
      </w:tr>
      <w:tr w:rsidR="00187F40" w14:paraId="473B5626" w14:textId="77777777" w:rsidTr="00C04369">
        <w:trPr>
          <w:cantSplit/>
          <w:trHeight w:val="23"/>
        </w:trPr>
        <w:tc>
          <w:tcPr>
            <w:tcW w:w="10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B74C4" w14:textId="77777777" w:rsidR="00187F40" w:rsidRDefault="00187F40" w:rsidP="00C04369">
            <w:pPr>
              <w:pStyle w:val="Standard"/>
              <w:spacing w:after="0"/>
            </w:pPr>
            <w:r>
              <w:t>в том числе</w:t>
            </w:r>
          </w:p>
        </w:tc>
      </w:tr>
      <w:tr w:rsidR="00187F40" w14:paraId="6B5F20CB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4CC91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AB93" w14:textId="77777777" w:rsidR="00187F40" w:rsidRDefault="00187F40" w:rsidP="00C04369">
            <w:pPr>
              <w:pStyle w:val="Standard"/>
              <w:spacing w:after="0"/>
            </w:pPr>
            <w:r>
              <w:t>Поступило средств в установленном</w:t>
            </w:r>
            <w:r>
              <w:br/>
              <w:t>порядке для формирования избирательного фонда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AD22A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D4BBA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39687,50</w:t>
            </w:r>
          </w:p>
        </w:tc>
      </w:tr>
      <w:tr w:rsidR="00187F40" w14:paraId="5268CF33" w14:textId="77777777" w:rsidTr="00C04369">
        <w:trPr>
          <w:cantSplit/>
          <w:trHeight w:val="23"/>
        </w:trPr>
        <w:tc>
          <w:tcPr>
            <w:tcW w:w="10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A0043" w14:textId="77777777" w:rsidR="00187F40" w:rsidRDefault="00187F40" w:rsidP="00C04369">
            <w:pPr>
              <w:pStyle w:val="Standard"/>
              <w:spacing w:after="0"/>
            </w:pPr>
            <w:r>
              <w:t>из них</w:t>
            </w:r>
          </w:p>
        </w:tc>
      </w:tr>
      <w:tr w:rsidR="00187F40" w14:paraId="4573E4C9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1AE9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1.1.1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99C" w14:textId="77777777" w:rsidR="00187F40" w:rsidRDefault="00187F40" w:rsidP="00C04369">
            <w:pPr>
              <w:pStyle w:val="Standard"/>
              <w:spacing w:after="0"/>
            </w:pPr>
            <w:r>
              <w:t xml:space="preserve">Собственные средства кандидата /избирательного объединения        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FE7BA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8AF0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39687,50</w:t>
            </w:r>
          </w:p>
        </w:tc>
      </w:tr>
      <w:tr w:rsidR="00187F40" w14:paraId="2444E1C6" w14:textId="77777777" w:rsidTr="00C04369">
        <w:trPr>
          <w:cantSplit/>
          <w:trHeight w:val="3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CFC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1.1.2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C008E" w14:textId="77777777" w:rsidR="00187F40" w:rsidRDefault="00187F40" w:rsidP="00C04369">
            <w:pPr>
              <w:pStyle w:val="Standard"/>
              <w:spacing w:after="0"/>
            </w:pPr>
            <w:r>
              <w:t xml:space="preserve">Средства, выделенные кандидату  </w:t>
            </w:r>
            <w:r>
              <w:br/>
              <w:t>выдвинувшим его избирательным объединением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DF357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D53CE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66E211A0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63DE7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1.1.3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179A4" w14:textId="77777777" w:rsidR="00187F40" w:rsidRDefault="00187F40" w:rsidP="00C04369">
            <w:pPr>
              <w:pStyle w:val="Standard"/>
              <w:spacing w:after="0"/>
            </w:pPr>
            <w:r>
              <w:t>Добровольные пожертвования гражданина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487A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50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51FCF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6B0593C0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B27A1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1.1.4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C12AB" w14:textId="77777777" w:rsidR="00187F40" w:rsidRDefault="00187F40" w:rsidP="00C04369">
            <w:pPr>
              <w:pStyle w:val="Standard"/>
              <w:spacing w:after="0"/>
            </w:pPr>
            <w:r>
              <w:t>Добровольные пожертвования юридического лица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51964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60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BE10E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0F53FABE" w14:textId="77777777" w:rsidTr="00C04369">
        <w:trPr>
          <w:cantSplit/>
          <w:trHeight w:val="42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21965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52037" w14:textId="77777777" w:rsidR="00187F40" w:rsidRDefault="00187F40" w:rsidP="00C04369">
            <w:pPr>
              <w:pStyle w:val="Standard"/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1C6BB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70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1CB61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2690E9FB" w14:textId="77777777" w:rsidTr="00C04369">
        <w:trPr>
          <w:cantSplit/>
          <w:trHeight w:val="23"/>
        </w:trPr>
        <w:tc>
          <w:tcPr>
            <w:tcW w:w="10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70ED6" w14:textId="77777777" w:rsidR="00187F40" w:rsidRDefault="00187F40" w:rsidP="00C04369">
            <w:pPr>
              <w:pStyle w:val="Standard"/>
              <w:spacing w:after="0"/>
            </w:pPr>
            <w:r>
              <w:t>из них</w:t>
            </w:r>
          </w:p>
        </w:tc>
      </w:tr>
      <w:tr w:rsidR="00187F40" w14:paraId="6135846A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D0B8A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1.2.1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804E" w14:textId="77777777" w:rsidR="00187F40" w:rsidRDefault="00187F40" w:rsidP="00C04369">
            <w:pPr>
              <w:pStyle w:val="Standard"/>
              <w:spacing w:after="0"/>
            </w:pPr>
            <w:r>
              <w:t xml:space="preserve">Собственные средства кандидата / избирательного объединения        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6FBA4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80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08B1C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09E6DB05" w14:textId="77777777" w:rsidTr="00C04369">
        <w:trPr>
          <w:cantSplit/>
          <w:trHeight w:val="3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CF24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1.2.2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882DB" w14:textId="77777777" w:rsidR="00187F40" w:rsidRDefault="00187F40" w:rsidP="00C04369">
            <w:pPr>
              <w:pStyle w:val="Standard"/>
              <w:spacing w:after="0"/>
            </w:pPr>
            <w:r>
              <w:t xml:space="preserve">Средства, выделенные кандидату выдвинувшим его избирательным объединением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0B8D1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90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EF8AC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43AE8F87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CFDF1" w14:textId="77777777" w:rsidR="00187F40" w:rsidRDefault="00187F40" w:rsidP="00C04369">
            <w:pPr>
              <w:pStyle w:val="Standard"/>
              <w:jc w:val="center"/>
            </w:pPr>
            <w:r>
              <w:t>1.2.3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7106C" w14:textId="77777777" w:rsidR="00187F40" w:rsidRDefault="00187F40" w:rsidP="00C04369">
            <w:pPr>
              <w:pStyle w:val="Standard"/>
            </w:pPr>
            <w:r>
              <w:t>Средства гражданина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DBB1B" w14:textId="77777777" w:rsidR="00187F40" w:rsidRDefault="00187F40" w:rsidP="00C0436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B34F" w14:textId="77777777" w:rsidR="00187F40" w:rsidRDefault="00187F40" w:rsidP="00C04369">
            <w:pPr>
              <w:pStyle w:val="Standard"/>
              <w:jc w:val="right"/>
            </w:pPr>
            <w:r>
              <w:t>0,00</w:t>
            </w:r>
          </w:p>
        </w:tc>
      </w:tr>
      <w:tr w:rsidR="00187F40" w14:paraId="0DE5D5FA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4FFDF" w14:textId="77777777" w:rsidR="00187F40" w:rsidRDefault="00187F40" w:rsidP="00C04369">
            <w:pPr>
              <w:pStyle w:val="Standard"/>
              <w:jc w:val="center"/>
            </w:pPr>
            <w:r>
              <w:t>1.2.4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8BF9E" w14:textId="77777777" w:rsidR="00187F40" w:rsidRDefault="00187F40" w:rsidP="00C04369">
            <w:pPr>
              <w:pStyle w:val="Standard"/>
            </w:pPr>
            <w:r>
              <w:t>Средства юридического лица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BCD52" w14:textId="77777777" w:rsidR="00187F40" w:rsidRDefault="00187F40" w:rsidP="00C04369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069C1" w14:textId="77777777" w:rsidR="00187F40" w:rsidRDefault="00187F40" w:rsidP="00C04369">
            <w:pPr>
              <w:pStyle w:val="Standard"/>
              <w:jc w:val="right"/>
            </w:pPr>
            <w:r>
              <w:t>0,00</w:t>
            </w:r>
          </w:p>
        </w:tc>
      </w:tr>
      <w:tr w:rsidR="00187F40" w14:paraId="09C07B18" w14:textId="77777777" w:rsidTr="00C04369">
        <w:trPr>
          <w:cantSplit/>
          <w:trHeight w:val="528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E8886" w14:textId="77777777" w:rsidR="00187F40" w:rsidRDefault="00187F40" w:rsidP="00C0436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85910" w14:textId="77777777" w:rsidR="00187F40" w:rsidRDefault="00187F40" w:rsidP="00C04369">
            <w:pPr>
              <w:pStyle w:val="Standard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B998" w14:textId="77777777" w:rsidR="00187F40" w:rsidRDefault="00187F40" w:rsidP="00C0436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5BC94" w14:textId="77777777" w:rsidR="00187F40" w:rsidRDefault="00187F40" w:rsidP="00C04369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7F40" w14:paraId="662E5CB1" w14:textId="77777777" w:rsidTr="00C04369">
        <w:trPr>
          <w:cantSplit/>
          <w:trHeight w:val="23"/>
        </w:trPr>
        <w:tc>
          <w:tcPr>
            <w:tcW w:w="10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F0EFA" w14:textId="77777777" w:rsidR="00187F40" w:rsidRDefault="00187F40" w:rsidP="00C04369">
            <w:pPr>
              <w:pStyle w:val="Standard"/>
              <w:spacing w:after="0"/>
            </w:pPr>
            <w:r>
              <w:t>в том числе</w:t>
            </w:r>
          </w:p>
        </w:tc>
      </w:tr>
      <w:tr w:rsidR="00187F40" w14:paraId="1C7538C7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6E445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FE91B" w14:textId="77777777" w:rsidR="00187F40" w:rsidRDefault="00187F40" w:rsidP="00C04369">
            <w:pPr>
              <w:pStyle w:val="Standard"/>
              <w:spacing w:after="0"/>
            </w:pPr>
            <w:r>
              <w:t>Перечислено в доход местного бюджета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E99EE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130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439AB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31E0335D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FF41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2.2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39B2" w14:textId="77777777" w:rsidR="00187F40" w:rsidRDefault="00187F40" w:rsidP="00C04369">
            <w:pPr>
              <w:pStyle w:val="Standard"/>
              <w:spacing w:after="0"/>
            </w:pPr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660F7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140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2D4F2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265CBEB7" w14:textId="77777777" w:rsidTr="00C04369">
        <w:trPr>
          <w:cantSplit/>
          <w:trHeight w:val="23"/>
        </w:trPr>
        <w:tc>
          <w:tcPr>
            <w:tcW w:w="10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F3C66" w14:textId="77777777" w:rsidR="00187F40" w:rsidRDefault="00187F40" w:rsidP="00C04369">
            <w:pPr>
              <w:pStyle w:val="Standard"/>
              <w:spacing w:after="0"/>
            </w:pPr>
            <w:r>
              <w:t>из них</w:t>
            </w:r>
          </w:p>
        </w:tc>
      </w:tr>
      <w:tr w:rsidR="00187F40" w14:paraId="16AB96AD" w14:textId="77777777" w:rsidTr="00C04369">
        <w:trPr>
          <w:cantSplit/>
          <w:trHeight w:val="24"/>
        </w:trPr>
        <w:tc>
          <w:tcPr>
            <w:tcW w:w="7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D4C05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A437B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B97CF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</w:tr>
      <w:tr w:rsidR="00187F40" w14:paraId="381420B2" w14:textId="77777777" w:rsidTr="00C04369">
        <w:trPr>
          <w:cantSplit/>
          <w:trHeight w:val="23"/>
        </w:trPr>
        <w:tc>
          <w:tcPr>
            <w:tcW w:w="7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0205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5C456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CE17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</w:t>
            </w:r>
          </w:p>
        </w:tc>
      </w:tr>
      <w:tr w:rsidR="00187F40" w14:paraId="4761850E" w14:textId="77777777" w:rsidTr="00C04369">
        <w:trPr>
          <w:cantSplit/>
          <w:trHeight w:val="3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2C6B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2.2.1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00A52" w14:textId="77777777" w:rsidR="00187F40" w:rsidRDefault="00187F40" w:rsidP="00C04369">
            <w:pPr>
              <w:pStyle w:val="Standard"/>
              <w:spacing w:after="0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8B298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150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86403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438CD851" w14:textId="77777777" w:rsidTr="00C04369">
        <w:trPr>
          <w:cantSplit/>
          <w:trHeight w:val="36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A4C3F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lastRenderedPageBreak/>
              <w:t>2.2.2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BBE69" w14:textId="77777777" w:rsidR="00187F40" w:rsidRDefault="00187F40" w:rsidP="00C04369">
            <w:pPr>
              <w:pStyle w:val="Standard"/>
              <w:spacing w:after="0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4C4D3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160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F94D0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169D2D65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3636F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2.2.3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A6227" w14:textId="77777777" w:rsidR="00187F40" w:rsidRDefault="00187F40" w:rsidP="00C04369">
            <w:pPr>
              <w:pStyle w:val="Standard"/>
              <w:spacing w:after="0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4614A" w14:textId="77777777" w:rsidR="00187F40" w:rsidRDefault="00187F40" w:rsidP="00C04369">
            <w:pPr>
              <w:pStyle w:val="Standard"/>
              <w:spacing w:after="0"/>
              <w:jc w:val="center"/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515AC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08189D8D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3413A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2.3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A171F" w14:textId="77777777" w:rsidR="00187F40" w:rsidRDefault="00187F40" w:rsidP="00C04369">
            <w:pPr>
              <w:pStyle w:val="Standard"/>
              <w:spacing w:after="0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60448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180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F4076" w14:textId="77777777" w:rsidR="00187F40" w:rsidRDefault="00187F40" w:rsidP="00C04369">
            <w:pPr>
              <w:pStyle w:val="Standard"/>
              <w:spacing w:after="0"/>
              <w:jc w:val="right"/>
            </w:pPr>
            <w:r>
              <w:t>0,00</w:t>
            </w:r>
          </w:p>
        </w:tc>
      </w:tr>
      <w:tr w:rsidR="00187F40" w14:paraId="09A22677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0E3EB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482F8" w14:textId="77777777" w:rsidR="00187F40" w:rsidRDefault="00187F40" w:rsidP="00C04369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11A57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C68ED" w14:textId="77777777" w:rsidR="00187F40" w:rsidRDefault="00187F40" w:rsidP="00C04369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39687,50</w:t>
            </w:r>
          </w:p>
        </w:tc>
      </w:tr>
      <w:tr w:rsidR="00187F40" w14:paraId="1E236B8C" w14:textId="77777777" w:rsidTr="00C04369">
        <w:trPr>
          <w:cantSplit/>
          <w:trHeight w:val="23"/>
        </w:trPr>
        <w:tc>
          <w:tcPr>
            <w:tcW w:w="10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A58F5" w14:textId="77777777" w:rsidR="00187F40" w:rsidRDefault="00187F40" w:rsidP="00C04369">
            <w:pPr>
              <w:pStyle w:val="Standard"/>
              <w:spacing w:after="0"/>
            </w:pPr>
            <w:r>
              <w:t>в том числе</w:t>
            </w:r>
          </w:p>
        </w:tc>
      </w:tr>
      <w:tr w:rsidR="00187F40" w14:paraId="2360148F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1AAB5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EBB38" w14:textId="77777777" w:rsidR="00187F40" w:rsidRDefault="00187F40" w:rsidP="00C04369">
            <w:pPr>
              <w:pStyle w:val="Standard"/>
              <w:spacing w:after="0"/>
            </w:pPr>
            <w:r>
              <w:t>На организацию сбора подписей избирателей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1288A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CFDC4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3CEE8208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168F3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3.1.1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3F231" w14:textId="77777777" w:rsidR="00187F40" w:rsidRDefault="00187F40" w:rsidP="00C04369">
            <w:pPr>
              <w:pStyle w:val="Standard"/>
              <w:spacing w:after="0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F1951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210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B1842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22D1FD1E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2F85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3.2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C726" w14:textId="77777777" w:rsidR="00187F40" w:rsidRDefault="00187F40" w:rsidP="00C04369">
            <w:pPr>
              <w:pStyle w:val="Standard"/>
              <w:spacing w:after="0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AE1BB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220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2B68C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00256CB8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81CB8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3.3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2C139" w14:textId="77777777" w:rsidR="00187F40" w:rsidRDefault="00187F40" w:rsidP="00C04369">
            <w:pPr>
              <w:pStyle w:val="Standard"/>
              <w:spacing w:after="0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B5D48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230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66821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7B187E1D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88132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3.4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13767" w14:textId="77777777" w:rsidR="00187F40" w:rsidRDefault="00187F40" w:rsidP="00C04369">
            <w:pPr>
              <w:pStyle w:val="Standard"/>
              <w:spacing w:after="0"/>
            </w:pPr>
            <w:r>
              <w:t>На предвыборную агитацию через сетевые издания</w:t>
            </w:r>
            <w:r>
              <w:rPr>
                <w:rStyle w:val="a5"/>
              </w:rPr>
              <w:footnoteReference w:id="3"/>
            </w:r>
            <w: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7434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D0B55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37E016EA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B0E40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3.5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EA6DC" w14:textId="77777777" w:rsidR="00187F40" w:rsidRDefault="00187F40" w:rsidP="00C04369">
            <w:pPr>
              <w:pStyle w:val="Standard"/>
              <w:spacing w:after="0"/>
            </w:pPr>
            <w:r>
              <w:t>На изготовление и распространение печатных и иных агитационных материалов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41844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250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3DA72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39687,50</w:t>
            </w:r>
          </w:p>
        </w:tc>
      </w:tr>
      <w:tr w:rsidR="00187F40" w14:paraId="44546917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BDE22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3.6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590FF" w14:textId="77777777" w:rsidR="00187F40" w:rsidRDefault="00187F40" w:rsidP="00C04369">
            <w:pPr>
              <w:pStyle w:val="Standard"/>
              <w:spacing w:after="0"/>
            </w:pPr>
            <w:r>
              <w:t>На проведение публичных массовых мероприятий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86DE4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260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C82D8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77987A94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08246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3.7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2BF5A" w14:textId="77777777" w:rsidR="00187F40" w:rsidRDefault="00187F40" w:rsidP="00C04369">
            <w:pPr>
              <w:pStyle w:val="Standard"/>
              <w:spacing w:after="0"/>
            </w:pPr>
            <w:r>
              <w:t xml:space="preserve">На оплату работ (услуг) информационного и </w:t>
            </w:r>
            <w:r>
              <w:br/>
              <w:t xml:space="preserve">консультационного характера 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3A659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270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1AF8D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3B87E68C" w14:textId="77777777" w:rsidTr="00C04369">
        <w:trPr>
          <w:cantSplit/>
          <w:trHeight w:val="3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36F1C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3.8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A5C04" w14:textId="77777777" w:rsidR="00187F40" w:rsidRDefault="00187F40" w:rsidP="00C04369">
            <w:pPr>
              <w:pStyle w:val="Standard"/>
              <w:spacing w:after="0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8CCEF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280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AD19B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63222565" w14:textId="77777777" w:rsidTr="00C04369">
        <w:trPr>
          <w:cantSplit/>
          <w:trHeight w:val="30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46E63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3.9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BAA87" w14:textId="77777777" w:rsidR="00187F40" w:rsidRDefault="00187F40" w:rsidP="00C04369">
            <w:pPr>
              <w:pStyle w:val="Standard"/>
              <w:spacing w:after="0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9B95C" w14:textId="77777777" w:rsidR="00187F40" w:rsidRDefault="00187F40" w:rsidP="00C04369">
            <w:pPr>
              <w:pStyle w:val="Standard"/>
              <w:spacing w:after="0"/>
              <w:jc w:val="center"/>
            </w:pPr>
            <w:r>
              <w:t>290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E0BB" w14:textId="77777777" w:rsidR="00187F40" w:rsidRDefault="00187F40" w:rsidP="00C04369">
            <w:pPr>
              <w:pStyle w:val="Standard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F40" w14:paraId="5CDE683E" w14:textId="77777777" w:rsidTr="00C04369">
        <w:trPr>
          <w:cantSplit/>
          <w:trHeight w:val="2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18E20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633D2" w14:textId="77777777" w:rsidR="00187F40" w:rsidRDefault="00187F40" w:rsidP="00C04369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EE318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AE776" w14:textId="77777777" w:rsidR="00187F40" w:rsidRDefault="00187F40" w:rsidP="00C04369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7F40" w14:paraId="0930E2C3" w14:textId="77777777" w:rsidTr="00C04369">
        <w:trPr>
          <w:cantSplit/>
          <w:trHeight w:val="24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1EC36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BDB7" w14:textId="77777777" w:rsidR="00187F40" w:rsidRDefault="00187F40" w:rsidP="00C04369">
            <w:pPr>
              <w:pStyle w:val="Standard"/>
              <w:spacing w:after="0"/>
            </w:pPr>
            <w:r>
              <w:rPr>
                <w:b/>
              </w:rPr>
              <w:t xml:space="preserve">Остаток средств фонда на дату составления отчета (заверяется документом кредитной организации) </w:t>
            </w: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DF71C" w14:textId="77777777" w:rsidR="00187F40" w:rsidRDefault="00187F40" w:rsidP="00C0436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E116" w14:textId="77777777" w:rsidR="00187F40" w:rsidRDefault="00187F40" w:rsidP="00C04369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3377F72E" w14:textId="77777777" w:rsidR="00187F40" w:rsidRDefault="00187F40" w:rsidP="00187F40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187F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237A" w14:textId="77777777" w:rsidR="00187F40" w:rsidRDefault="00187F40" w:rsidP="00187F4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137FFC7" w14:textId="77777777" w:rsidR="00187F40" w:rsidRDefault="00187F40" w:rsidP="00187F4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, 바탕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166D" w14:textId="77777777" w:rsidR="00187F40" w:rsidRDefault="00187F40" w:rsidP="00187F4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D695357" w14:textId="77777777" w:rsidR="00187F40" w:rsidRDefault="00187F40" w:rsidP="00187F40">
      <w:pPr>
        <w:spacing w:after="0" w:line="240" w:lineRule="auto"/>
        <w:rPr>
          <w:rFonts w:hint="eastAsia"/>
        </w:rPr>
      </w:pPr>
      <w:r>
        <w:continuationSeparator/>
      </w:r>
    </w:p>
  </w:footnote>
  <w:footnote w:id="1">
    <w:p w14:paraId="2F1BEE58" w14:textId="77777777" w:rsidR="00187F40" w:rsidRDefault="00187F40" w:rsidP="00187F40">
      <w:pPr>
        <w:pStyle w:val="Standard"/>
        <w:spacing w:after="120"/>
        <w:ind w:firstLine="709"/>
      </w:pPr>
      <w:r>
        <w:rPr>
          <w:rStyle w:val="a5"/>
        </w:rPr>
        <w:footnoteRef/>
      </w:r>
      <w:r>
        <w:rPr>
          <w:sz w:val="18"/>
          <w:szCs w:val="18"/>
        </w:rPr>
        <w:t> Не заполняется в случае не 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</w:t>
      </w:r>
      <w:r>
        <w:rPr>
          <w:sz w:val="18"/>
        </w:rPr>
        <w:t>.</w:t>
      </w:r>
    </w:p>
  </w:footnote>
  <w:footnote w:id="2">
    <w:p w14:paraId="5D93626F" w14:textId="77777777" w:rsidR="00187F40" w:rsidRDefault="00187F40" w:rsidP="00187F40">
      <w:pPr>
        <w:pStyle w:val="FootnoteText1"/>
        <w:spacing w:line="240" w:lineRule="auto"/>
      </w:pPr>
      <w:r>
        <w:rPr>
          <w:rStyle w:val="a5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A342C90" w14:textId="77777777" w:rsidR="00187F40" w:rsidRDefault="00187F40" w:rsidP="00187F40">
      <w:pPr>
        <w:pStyle w:val="FootnoteText1"/>
        <w:spacing w:line="240" w:lineRule="auto"/>
      </w:pPr>
      <w:r>
        <w:rPr>
          <w:rStyle w:val="a5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3E9E9443" w14:textId="77777777" w:rsidR="00187F40" w:rsidRDefault="00187F40" w:rsidP="00187F40">
      <w:pPr>
        <w:pStyle w:val="FootnoteText1"/>
        <w:spacing w:line="240" w:lineRule="auto"/>
      </w:pPr>
      <w:r>
        <w:rPr>
          <w:rStyle w:val="a5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4AAA33B" w14:textId="77777777" w:rsidR="00187F40" w:rsidRDefault="00187F40" w:rsidP="00187F40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014506EC" w14:textId="77777777" w:rsidR="00187F40" w:rsidRDefault="00187F40" w:rsidP="00187F40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14:paraId="50274235" w14:textId="77777777" w:rsidR="00187F40" w:rsidRDefault="00187F40" w:rsidP="00187F40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14:paraId="0D23C71F" w14:textId="77777777" w:rsidR="00187F40" w:rsidRDefault="00187F40" w:rsidP="00187F40">
      <w:pPr>
        <w:pStyle w:val="FootnoteText1"/>
        <w:shd w:val="clear" w:color="auto" w:fill="FFFFFF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35D" w14:textId="77777777" w:rsidR="00187F40" w:rsidRDefault="00187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0"/>
    <w:rsid w:val="00187F40"/>
    <w:rsid w:val="00C97878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5444"/>
  <w15:chartTrackingRefBased/>
  <w15:docId w15:val="{FD9C9085-0A5B-4C22-83BC-62951560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40"/>
    <w:pPr>
      <w:widowControl w:val="0"/>
      <w:suppressAutoHyphens/>
      <w:autoSpaceDN w:val="0"/>
      <w:spacing w:line="251" w:lineRule="auto"/>
      <w:textAlignment w:val="baseline"/>
    </w:pPr>
    <w:rPr>
      <w:rFonts w:ascii="Liberation Serif" w:eastAsia="NSimSun" w:hAnsi="Liberation Serif" w:cs="Arial"/>
      <w:kern w:val="3"/>
      <w:sz w:val="20"/>
      <w:szCs w:val="20"/>
      <w:lang w:eastAsia="ru-RU"/>
    </w:rPr>
  </w:style>
  <w:style w:type="paragraph" w:styleId="1">
    <w:name w:val="heading 1"/>
    <w:basedOn w:val="Standard"/>
    <w:next w:val="a"/>
    <w:link w:val="10"/>
    <w:uiPriority w:val="9"/>
    <w:qFormat/>
    <w:rsid w:val="00187F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40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/>
    </w:rPr>
  </w:style>
  <w:style w:type="paragraph" w:customStyle="1" w:styleId="Standard">
    <w:name w:val="Standard"/>
    <w:rsid w:val="00187F40"/>
    <w:pPr>
      <w:suppressAutoHyphens/>
      <w:autoSpaceDN w:val="0"/>
      <w:spacing w:line="251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187F40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F40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187F40"/>
    <w:pPr>
      <w:widowControl w:val="0"/>
      <w:suppressAutoHyphens/>
      <w:autoSpaceDN w:val="0"/>
      <w:spacing w:line="251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FootnoteText1">
    <w:name w:val="Footnote Text1"/>
    <w:basedOn w:val="Standard"/>
    <w:rsid w:val="00187F40"/>
    <w:pPr>
      <w:keepLines/>
      <w:spacing w:after="120"/>
      <w:ind w:firstLine="709"/>
      <w:jc w:val="both"/>
    </w:pPr>
    <w:rPr>
      <w:rFonts w:eastAsia="Batang, 바탕"/>
      <w:sz w:val="22"/>
    </w:rPr>
  </w:style>
  <w:style w:type="character" w:styleId="a5">
    <w:name w:val="footnote reference"/>
    <w:basedOn w:val="a0"/>
    <w:rsid w:val="00187F4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EDCA-659B-40C8-A453-4FDDD89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2023-10-09T11:01:00Z</dcterms:created>
  <dcterms:modified xsi:type="dcterms:W3CDTF">2023-10-09T11:43:00Z</dcterms:modified>
</cp:coreProperties>
</file>