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A" w:rsidRPr="00AC5BCA" w:rsidRDefault="00AC5BCA" w:rsidP="008B2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C5BCA">
        <w:rPr>
          <w:rFonts w:ascii="Times New Roman" w:hAnsi="Times New Roman" w:cs="Times New Roman"/>
          <w:b/>
        </w:rPr>
        <w:t>Информация о целевых показателях и показателях результативности муниципальной программы</w:t>
      </w:r>
    </w:p>
    <w:p w:rsidR="00AC5BCA" w:rsidRDefault="00AC5BCA" w:rsidP="008B2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C5BCA">
        <w:rPr>
          <w:rFonts w:ascii="Times New Roman" w:hAnsi="Times New Roman" w:cs="Times New Roman"/>
          <w:b/>
        </w:rPr>
        <w:t>«Развитие транспортно-дорожного комплекса Таймырского Долгано-Ненецкого муниципального района»</w:t>
      </w:r>
    </w:p>
    <w:p w:rsidR="00AC5BCA" w:rsidRPr="00AC5BCA" w:rsidRDefault="00AC5BCA" w:rsidP="008B2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B22AD" w:rsidRDefault="00AC5BCA" w:rsidP="008B22A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AC5BCA">
        <w:rPr>
          <w:rFonts w:ascii="Times New Roman" w:hAnsi="Times New Roman" w:cs="Times New Roman"/>
        </w:rPr>
        <w:t xml:space="preserve">С 2014 года на территории Таймырского Долгано-Ненецкого муниципального района довольно успешно реализуется муниципальная программа </w:t>
      </w:r>
      <w:r w:rsidRPr="008B22AD">
        <w:rPr>
          <w:rFonts w:ascii="Times New Roman" w:hAnsi="Times New Roman" w:cs="Times New Roman"/>
        </w:rPr>
        <w:t>«Развитие транспортно-дорожного комплекса Таймырского Долгано-Ненецкого муниципального района».</w:t>
      </w:r>
      <w:r w:rsidRPr="00AC5BCA">
        <w:rPr>
          <w:rFonts w:ascii="Times New Roman" w:hAnsi="Times New Roman" w:cs="Times New Roman"/>
        </w:rPr>
        <w:t xml:space="preserve"> </w:t>
      </w:r>
    </w:p>
    <w:p w:rsidR="00AC5BCA" w:rsidRPr="00AC5BCA" w:rsidRDefault="00AC5BCA" w:rsidP="008B2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5BCA">
        <w:rPr>
          <w:rFonts w:ascii="Times New Roman" w:hAnsi="Times New Roman" w:cs="Times New Roman"/>
        </w:rPr>
        <w:t>В 2016 году фактический объем финансирования составил 184,84 млн. рублей при плане – 186,57 млн. рублей. На плановый период 2017-2019 годов на реализацию программы предусмотрено: 2017 год – 203,95 млн. рублей; 2018 и 2019 года – по 216,04 млн. рублей.</w:t>
      </w:r>
    </w:p>
    <w:p w:rsidR="008B22AD" w:rsidRDefault="008B22AD" w:rsidP="008B22A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C5BCA" w:rsidRPr="00AC5BCA" w:rsidRDefault="00AC5BCA" w:rsidP="008B2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5BCA">
        <w:rPr>
          <w:rFonts w:ascii="Times New Roman" w:hAnsi="Times New Roman" w:cs="Times New Roman"/>
        </w:rPr>
        <w:t>Основными целевыми показателя реализации программы являются:</w:t>
      </w:r>
    </w:p>
    <w:p w:rsidR="00AC5BCA" w:rsidRPr="00AC5BCA" w:rsidRDefault="00AC5BCA" w:rsidP="008B2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5BCA">
        <w:rPr>
          <w:rFonts w:ascii="Times New Roman" w:hAnsi="Times New Roman" w:cs="Times New Roman"/>
        </w:rPr>
        <w:t>- доля населения, проживающего в населенных пунктах муниципального района, имеющих транспортное сообщение регулярными маршрутами воздушного и (или) внутреннего водного транспорта в общей численности населения муниципального района.</w:t>
      </w:r>
      <w:proofErr w:type="gramEnd"/>
      <w:r w:rsidRPr="00AC5BCA">
        <w:rPr>
          <w:rFonts w:ascii="Times New Roman" w:hAnsi="Times New Roman" w:cs="Times New Roman"/>
        </w:rPr>
        <w:t xml:space="preserve"> Фактическое значение его за 2016 год и плановые значения на 2017-2019 года составляют 95%, что характеризует стабильность предоставления (оказания) и </w:t>
      </w:r>
      <w:proofErr w:type="spellStart"/>
      <w:r w:rsidRPr="00AC5BCA">
        <w:rPr>
          <w:rFonts w:ascii="Times New Roman" w:hAnsi="Times New Roman" w:cs="Times New Roman"/>
        </w:rPr>
        <w:t>востребованность</w:t>
      </w:r>
      <w:proofErr w:type="spellEnd"/>
      <w:r w:rsidRPr="00AC5BCA">
        <w:rPr>
          <w:rFonts w:ascii="Times New Roman" w:hAnsi="Times New Roman" w:cs="Times New Roman"/>
        </w:rPr>
        <w:t xml:space="preserve"> населением данных транспортных услуг.</w:t>
      </w:r>
    </w:p>
    <w:p w:rsidR="00AC5BCA" w:rsidRPr="00AC5BCA" w:rsidRDefault="00AC5BCA" w:rsidP="008B2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5BCA">
        <w:rPr>
          <w:rFonts w:ascii="Times New Roman" w:hAnsi="Times New Roman" w:cs="Times New Roman"/>
        </w:rPr>
        <w:t>- доля выполненных МКУ "Таймырская транспортная компания" заявок на оказание транспортных услуг по отношению к общему числу поданных заявок. Фактическое значение показателя за 2016 год – 99,6% при запланированном показателе 98,0%. Плановые значения: 2017 – 99,0%, 2018 и 2019 года – по 100%. Данный показатель характеризует стремление к тому, чтобы все поданные заявки на оказание транспортных услуг были оказаны качественно и в полном объеме.</w:t>
      </w:r>
    </w:p>
    <w:p w:rsidR="00AC5BCA" w:rsidRPr="00AC5BCA" w:rsidRDefault="00AC5BCA" w:rsidP="008B2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5BCA">
        <w:rPr>
          <w:rFonts w:ascii="Times New Roman" w:hAnsi="Times New Roman" w:cs="Times New Roman"/>
        </w:rPr>
        <w:t xml:space="preserve">- </w:t>
      </w:r>
      <w:proofErr w:type="gramStart"/>
      <w:r w:rsidRPr="00AC5BCA">
        <w:rPr>
          <w:rFonts w:ascii="Times New Roman" w:hAnsi="Times New Roman" w:cs="Times New Roman"/>
        </w:rPr>
        <w:t>д</w:t>
      </w:r>
      <w:proofErr w:type="gramEnd"/>
      <w:r w:rsidRPr="00AC5BCA">
        <w:rPr>
          <w:rFonts w:ascii="Times New Roman" w:hAnsi="Times New Roman" w:cs="Times New Roman"/>
        </w:rPr>
        <w:t>оля протяженности автомобильных дорог общего пользования муниципального района, не отвечающих нормативным требованиям, в общей протяженности автомобильных дорог общего пользования муниципального района. Фактическое значение показателя за 2016 год – 99,4% при запланированном показателе 99,5%. Плановые значения: 2017 – 99,4%, 2018 – 99,2%, 2019 года – 99,0%. Данный показатель характеризует стремление органов местного самоуправления к постепенному (поэтапному) приведению автомобильных дорог Таймыра к нормативным требованиям.</w:t>
      </w:r>
    </w:p>
    <w:p w:rsidR="008B22AD" w:rsidRDefault="008B22AD" w:rsidP="008B22A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AC5BCA" w:rsidRPr="00AC5BCA" w:rsidRDefault="00AC5BCA" w:rsidP="008B2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5BCA">
        <w:rPr>
          <w:rFonts w:ascii="Times New Roman" w:hAnsi="Times New Roman" w:cs="Times New Roman"/>
        </w:rPr>
        <w:t xml:space="preserve">В части </w:t>
      </w:r>
      <w:proofErr w:type="spellStart"/>
      <w:r w:rsidRPr="00AC5BCA">
        <w:rPr>
          <w:rFonts w:ascii="Times New Roman" w:hAnsi="Times New Roman" w:cs="Times New Roman"/>
        </w:rPr>
        <w:t>непрограммных</w:t>
      </w:r>
      <w:proofErr w:type="spellEnd"/>
      <w:r w:rsidRPr="00AC5BCA">
        <w:rPr>
          <w:rFonts w:ascii="Times New Roman" w:hAnsi="Times New Roman" w:cs="Times New Roman"/>
        </w:rPr>
        <w:t xml:space="preserve"> мероприятий в области транспорта и дорожной деятельности необходимо констатировать, что в 2016 году таковых не было, а вот на 2017 год запланировано мероприятие по поставке для нужд Администрации муниципального </w:t>
      </w:r>
      <w:proofErr w:type="gramEnd"/>
      <w:r w:rsidRPr="00AC5BCA">
        <w:rPr>
          <w:rFonts w:ascii="Times New Roman" w:hAnsi="Times New Roman" w:cs="Times New Roman"/>
        </w:rPr>
        <w:t>района (для организации регулярных пассажирских перевозок внутренним водным транспортом в сельском поселении Хатанга) пассажирского водометного мелкосидящего катера. Общий объем бюджетных ассигнований на реализацию данного мероприятия составляет 20,06 млн. рублей.</w:t>
      </w:r>
    </w:p>
    <w:p w:rsidR="00687BD4" w:rsidRDefault="00687BD4" w:rsidP="008B22AD">
      <w:pPr>
        <w:spacing w:after="0" w:line="240" w:lineRule="auto"/>
        <w:ind w:firstLine="709"/>
        <w:jc w:val="both"/>
      </w:pPr>
    </w:p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CA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40A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22AD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BCA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CA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2017-03-24T06:57:00Z</dcterms:created>
  <dcterms:modified xsi:type="dcterms:W3CDTF">2017-03-24T07:01:00Z</dcterms:modified>
</cp:coreProperties>
</file>